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9DF6A" w14:textId="77777777" w:rsidR="00A7658C" w:rsidRPr="0077012C" w:rsidRDefault="00D876E3" w:rsidP="00441530">
      <w:pPr>
        <w:spacing w:line="360" w:lineRule="auto"/>
        <w:jc w:val="center"/>
        <w:rPr>
          <w:rFonts w:ascii="Arial" w:hAnsi="Arial" w:cs="Arial"/>
          <w:b/>
          <w:bCs/>
          <w:sz w:val="24"/>
          <w:szCs w:val="24"/>
        </w:rPr>
      </w:pPr>
      <w:r w:rsidRPr="0077012C">
        <w:rPr>
          <w:rFonts w:ascii="Arial" w:hAnsi="Arial" w:cs="Arial"/>
          <w:b/>
          <w:bCs/>
          <w:sz w:val="24"/>
          <w:szCs w:val="24"/>
        </w:rPr>
        <w:t>Appendix B</w:t>
      </w:r>
    </w:p>
    <w:p w14:paraId="08089B0B" w14:textId="6DEE5C8C" w:rsidR="00D876E3" w:rsidRPr="0077012C" w:rsidRDefault="00A7658C" w:rsidP="00441530">
      <w:pPr>
        <w:spacing w:line="360" w:lineRule="auto"/>
        <w:jc w:val="center"/>
        <w:rPr>
          <w:rFonts w:ascii="Arial" w:hAnsi="Arial" w:cs="Arial"/>
          <w:b/>
          <w:bCs/>
          <w:sz w:val="24"/>
          <w:szCs w:val="24"/>
        </w:rPr>
      </w:pPr>
      <w:r w:rsidRPr="0077012C">
        <w:rPr>
          <w:rFonts w:ascii="Arial" w:hAnsi="Arial" w:cs="Arial"/>
          <w:b/>
          <w:bCs/>
          <w:sz w:val="24"/>
          <w:szCs w:val="24"/>
        </w:rPr>
        <w:t>LEGAL BASIS</w:t>
      </w:r>
    </w:p>
    <w:p w14:paraId="5D0AF7E6" w14:textId="064A18E8" w:rsidR="00101B28" w:rsidRDefault="00A7658C" w:rsidP="00A7658C">
      <w:pPr>
        <w:pStyle w:val="ListParagraph"/>
        <w:numPr>
          <w:ilvl w:val="0"/>
          <w:numId w:val="5"/>
        </w:numPr>
        <w:spacing w:line="360" w:lineRule="auto"/>
        <w:contextualSpacing w:val="0"/>
        <w:rPr>
          <w:rFonts w:ascii="Arial" w:hAnsi="Arial" w:cs="Arial"/>
          <w:sz w:val="24"/>
          <w:szCs w:val="24"/>
        </w:rPr>
      </w:pPr>
      <w:r>
        <w:rPr>
          <w:rFonts w:ascii="Arial" w:hAnsi="Arial" w:cs="Arial"/>
          <w:sz w:val="24"/>
          <w:szCs w:val="24"/>
        </w:rPr>
        <w:t xml:space="preserve">Section 102(1) of the </w:t>
      </w:r>
      <w:r w:rsidRPr="00A7658C">
        <w:rPr>
          <w:rFonts w:ascii="Arial" w:hAnsi="Arial" w:cs="Arial"/>
          <w:i/>
          <w:iCs/>
          <w:sz w:val="24"/>
          <w:szCs w:val="24"/>
        </w:rPr>
        <w:t>CFCSA</w:t>
      </w:r>
      <w:r>
        <w:rPr>
          <w:rFonts w:ascii="Arial" w:hAnsi="Arial" w:cs="Arial"/>
          <w:sz w:val="24"/>
          <w:szCs w:val="24"/>
        </w:rPr>
        <w:t xml:space="preserve"> states that where a person contravenes an access order under s. 55 or s. 56 of the </w:t>
      </w:r>
      <w:r w:rsidRPr="00A7658C">
        <w:rPr>
          <w:rFonts w:ascii="Arial" w:hAnsi="Arial" w:cs="Arial"/>
          <w:i/>
          <w:iCs/>
          <w:sz w:val="24"/>
          <w:szCs w:val="24"/>
        </w:rPr>
        <w:t>CFCSA</w:t>
      </w:r>
      <w:r>
        <w:rPr>
          <w:rFonts w:ascii="Arial" w:hAnsi="Arial" w:cs="Arial"/>
          <w:sz w:val="24"/>
          <w:szCs w:val="24"/>
        </w:rPr>
        <w:t xml:space="preserve">, they commit an offence. </w:t>
      </w:r>
    </w:p>
    <w:p w14:paraId="47AB7120" w14:textId="18C5362C" w:rsidR="00A7658C" w:rsidRDefault="00A7658C" w:rsidP="00A7658C">
      <w:pPr>
        <w:pStyle w:val="ListParagraph"/>
        <w:numPr>
          <w:ilvl w:val="0"/>
          <w:numId w:val="5"/>
        </w:numPr>
        <w:spacing w:line="360" w:lineRule="auto"/>
        <w:contextualSpacing w:val="0"/>
        <w:rPr>
          <w:rFonts w:ascii="Arial" w:hAnsi="Arial" w:cs="Arial"/>
          <w:sz w:val="24"/>
          <w:szCs w:val="24"/>
        </w:rPr>
      </w:pPr>
      <w:r>
        <w:rPr>
          <w:rFonts w:ascii="Arial" w:hAnsi="Arial" w:cs="Arial"/>
          <w:sz w:val="24"/>
          <w:szCs w:val="24"/>
        </w:rPr>
        <w:t xml:space="preserve">A person who commits an offence under s. 102(1) of the </w:t>
      </w:r>
      <w:r w:rsidRPr="00A7658C">
        <w:rPr>
          <w:rFonts w:ascii="Arial" w:hAnsi="Arial" w:cs="Arial"/>
          <w:i/>
          <w:iCs/>
          <w:sz w:val="24"/>
          <w:szCs w:val="24"/>
        </w:rPr>
        <w:t>CFCSA</w:t>
      </w:r>
      <w:r>
        <w:rPr>
          <w:rFonts w:ascii="Arial" w:hAnsi="Arial" w:cs="Arial"/>
          <w:sz w:val="24"/>
          <w:szCs w:val="24"/>
        </w:rPr>
        <w:t xml:space="preserve"> is liable to a fine of up to $10,000 and/or to imprisonment of up to 6 months.</w:t>
      </w:r>
    </w:p>
    <w:p w14:paraId="610F5D54" w14:textId="27CF0465" w:rsidR="0024008C" w:rsidRDefault="0024008C" w:rsidP="0024008C">
      <w:pPr>
        <w:pStyle w:val="ListParagraph"/>
        <w:numPr>
          <w:ilvl w:val="0"/>
          <w:numId w:val="5"/>
        </w:numPr>
        <w:spacing w:line="360" w:lineRule="auto"/>
        <w:contextualSpacing w:val="0"/>
        <w:rPr>
          <w:rFonts w:ascii="Arial" w:hAnsi="Arial" w:cs="Arial"/>
          <w:sz w:val="24"/>
          <w:szCs w:val="24"/>
        </w:rPr>
      </w:pPr>
      <w:r>
        <w:rPr>
          <w:rFonts w:ascii="Arial" w:hAnsi="Arial" w:cs="Arial"/>
          <w:sz w:val="24"/>
          <w:szCs w:val="24"/>
        </w:rPr>
        <w:t>The statutory authority to order a penalty against the Director is a</w:t>
      </w:r>
      <w:r w:rsidR="00431155">
        <w:rPr>
          <w:rFonts w:ascii="Arial" w:hAnsi="Arial" w:cs="Arial"/>
          <w:sz w:val="24"/>
          <w:szCs w:val="24"/>
        </w:rPr>
        <w:t xml:space="preserve"> </w:t>
      </w:r>
      <w:r>
        <w:rPr>
          <w:rFonts w:ascii="Arial" w:hAnsi="Arial" w:cs="Arial"/>
          <w:sz w:val="24"/>
          <w:szCs w:val="24"/>
        </w:rPr>
        <w:t xml:space="preserve">means of enforcing or maintaining judicial oversight over an access order, and thus ensuring the best interests of the child who is at the heart of the order. </w:t>
      </w:r>
    </w:p>
    <w:p w14:paraId="5AA87C1C" w14:textId="61D18ABE" w:rsidR="005D7DA0" w:rsidRDefault="00431155" w:rsidP="005D7DA0">
      <w:pPr>
        <w:pStyle w:val="ListParagraph"/>
        <w:numPr>
          <w:ilvl w:val="0"/>
          <w:numId w:val="5"/>
        </w:numPr>
        <w:spacing w:after="240" w:line="360" w:lineRule="auto"/>
        <w:contextualSpacing w:val="0"/>
        <w:rPr>
          <w:rFonts w:ascii="Arial" w:hAnsi="Arial" w:cs="Arial"/>
          <w:sz w:val="24"/>
          <w:szCs w:val="24"/>
        </w:rPr>
      </w:pPr>
      <w:r>
        <w:rPr>
          <w:rFonts w:ascii="Arial" w:hAnsi="Arial" w:cs="Arial"/>
          <w:sz w:val="24"/>
          <w:szCs w:val="24"/>
        </w:rPr>
        <w:t xml:space="preserve">The Provincial Court’s statutory authority to order a penalty can be analogized to its implied authority to make costs awards. </w:t>
      </w:r>
      <w:r w:rsidR="005D7DA0">
        <w:rPr>
          <w:rFonts w:ascii="Arial" w:hAnsi="Arial" w:cs="Arial"/>
          <w:sz w:val="24"/>
          <w:szCs w:val="24"/>
        </w:rPr>
        <w:t>Both are a</w:t>
      </w:r>
      <w:r w:rsidR="005D7DA0">
        <w:rPr>
          <w:rFonts w:ascii="Arial" w:hAnsi="Arial" w:cs="Arial"/>
          <w:sz w:val="24"/>
          <w:szCs w:val="24"/>
        </w:rPr>
        <w:t xml:space="preserve"> means of enforcing or maintaining judicial oversight over an access order, and thus ensuring the best interests of the child who is at the heart of the order. </w:t>
      </w:r>
    </w:p>
    <w:p w14:paraId="02BF48D6" w14:textId="1C741C61" w:rsidR="005D7DA0" w:rsidRPr="005D7DA0" w:rsidRDefault="005D7DA0" w:rsidP="005D7DA0">
      <w:pPr>
        <w:pStyle w:val="ListParagraph"/>
        <w:numPr>
          <w:ilvl w:val="0"/>
          <w:numId w:val="5"/>
        </w:numPr>
        <w:spacing w:after="240" w:line="240" w:lineRule="auto"/>
        <w:contextualSpacing w:val="0"/>
        <w:jc w:val="right"/>
        <w:rPr>
          <w:rFonts w:ascii="Arial" w:hAnsi="Arial" w:cs="Arial"/>
          <w:sz w:val="24"/>
          <w:szCs w:val="24"/>
        </w:rPr>
      </w:pPr>
      <w:r w:rsidRPr="0024008C">
        <w:rPr>
          <w:rFonts w:ascii="Arial" w:hAnsi="Arial" w:cs="Arial"/>
          <w:i/>
          <w:iCs/>
          <w:sz w:val="24"/>
          <w:szCs w:val="24"/>
        </w:rPr>
        <w:t>British Columbia (Child, Family and Community Service) and. L.M.R. and S.F.</w:t>
      </w:r>
      <w:r w:rsidRPr="0024008C">
        <w:rPr>
          <w:rFonts w:ascii="Arial" w:hAnsi="Arial" w:cs="Arial"/>
          <w:sz w:val="24"/>
          <w:szCs w:val="24"/>
        </w:rPr>
        <w:t>, 2021 BCPC 353</w:t>
      </w:r>
      <w:r>
        <w:rPr>
          <w:rFonts w:ascii="Arial" w:hAnsi="Arial" w:cs="Arial"/>
          <w:sz w:val="24"/>
          <w:szCs w:val="24"/>
        </w:rPr>
        <w:t>, at paras. 40-42</w:t>
      </w:r>
      <w:r>
        <w:rPr>
          <w:rFonts w:ascii="Arial" w:hAnsi="Arial" w:cs="Arial"/>
          <w:sz w:val="24"/>
          <w:szCs w:val="24"/>
        </w:rPr>
        <w:t xml:space="preserve"> (“</w:t>
      </w:r>
      <w:r w:rsidRPr="005D7DA0">
        <w:rPr>
          <w:rFonts w:ascii="Arial" w:hAnsi="Arial" w:cs="Arial"/>
          <w:i/>
          <w:iCs/>
          <w:sz w:val="24"/>
          <w:szCs w:val="24"/>
        </w:rPr>
        <w:t>L.M.R.</w:t>
      </w:r>
      <w:r>
        <w:rPr>
          <w:rFonts w:ascii="Arial" w:hAnsi="Arial" w:cs="Arial"/>
          <w:sz w:val="24"/>
          <w:szCs w:val="24"/>
        </w:rPr>
        <w:t>”)</w:t>
      </w:r>
      <w:r>
        <w:rPr>
          <w:rFonts w:ascii="Arial" w:hAnsi="Arial" w:cs="Arial"/>
          <w:sz w:val="24"/>
          <w:szCs w:val="24"/>
        </w:rPr>
        <w:t>.</w:t>
      </w:r>
    </w:p>
    <w:p w14:paraId="257C5514" w14:textId="446CBDC4" w:rsidR="0024008C" w:rsidRPr="005D7DA0" w:rsidRDefault="005D7DA0" w:rsidP="005D7DA0">
      <w:pPr>
        <w:pStyle w:val="ListParagraph"/>
        <w:numPr>
          <w:ilvl w:val="0"/>
          <w:numId w:val="5"/>
        </w:numPr>
        <w:spacing w:after="240" w:line="360" w:lineRule="auto"/>
        <w:contextualSpacing w:val="0"/>
        <w:rPr>
          <w:rFonts w:ascii="Arial" w:hAnsi="Arial" w:cs="Arial"/>
          <w:sz w:val="24"/>
          <w:szCs w:val="24"/>
        </w:rPr>
      </w:pPr>
      <w:r>
        <w:rPr>
          <w:rFonts w:ascii="Arial" w:hAnsi="Arial" w:cs="Arial"/>
          <w:sz w:val="24"/>
          <w:szCs w:val="24"/>
        </w:rPr>
        <w:t xml:space="preserve">In </w:t>
      </w:r>
      <w:r w:rsidRPr="005D7DA0">
        <w:rPr>
          <w:rFonts w:ascii="Arial" w:hAnsi="Arial" w:cs="Arial"/>
          <w:i/>
          <w:iCs/>
          <w:sz w:val="24"/>
          <w:szCs w:val="24"/>
        </w:rPr>
        <w:t>L.M.R.</w:t>
      </w:r>
      <w:r>
        <w:rPr>
          <w:rFonts w:ascii="Arial" w:hAnsi="Arial" w:cs="Arial"/>
          <w:sz w:val="24"/>
          <w:szCs w:val="24"/>
        </w:rPr>
        <w:t xml:space="preserve">, </w:t>
      </w:r>
      <w:r w:rsidR="0024008C" w:rsidRPr="005D7DA0">
        <w:rPr>
          <w:rFonts w:ascii="Arial" w:hAnsi="Arial" w:cs="Arial"/>
          <w:sz w:val="24"/>
          <w:szCs w:val="24"/>
        </w:rPr>
        <w:t>Judge Mengering observed</w:t>
      </w:r>
      <w:r>
        <w:rPr>
          <w:rFonts w:ascii="Arial" w:hAnsi="Arial" w:cs="Arial"/>
          <w:sz w:val="24"/>
          <w:szCs w:val="24"/>
        </w:rPr>
        <w:t xml:space="preserve"> at para. 41</w:t>
      </w:r>
      <w:r w:rsidR="0024008C" w:rsidRPr="005D7DA0">
        <w:rPr>
          <w:rFonts w:ascii="Arial" w:hAnsi="Arial" w:cs="Arial"/>
          <w:sz w:val="24"/>
          <w:szCs w:val="24"/>
        </w:rPr>
        <w:t>:</w:t>
      </w:r>
    </w:p>
    <w:p w14:paraId="2DD8B9E2" w14:textId="3B0942F1" w:rsidR="0024008C" w:rsidRDefault="0024008C" w:rsidP="0024008C">
      <w:pPr>
        <w:pStyle w:val="ListParagraph"/>
        <w:spacing w:line="240" w:lineRule="auto"/>
        <w:rPr>
          <w:rFonts w:ascii="Arial" w:hAnsi="Arial" w:cs="Arial"/>
          <w:sz w:val="24"/>
          <w:szCs w:val="24"/>
        </w:rPr>
      </w:pPr>
      <w:r w:rsidRPr="0024008C">
        <w:rPr>
          <w:rFonts w:ascii="Arial" w:hAnsi="Arial" w:cs="Arial"/>
          <w:sz w:val="24"/>
          <w:szCs w:val="24"/>
        </w:rPr>
        <w:t xml:space="preserve">The removal of a child from their parents, family, and home is one of the most intrusive things the state can do. In this case, Judge McDermick found that it was not contrary to the best interests of the S.F./L.M.R.’s children to maintain contact with their parents, and accordingly, he made a s. 55 Access Order in favour of the father. Judicial oversight of that order is essential to the court's role in making orders for the protection of children </w:t>
      </w:r>
      <w:proofErr w:type="gramStart"/>
      <w:r w:rsidRPr="0024008C">
        <w:rPr>
          <w:rFonts w:ascii="Arial" w:hAnsi="Arial" w:cs="Arial"/>
          <w:sz w:val="24"/>
          <w:szCs w:val="24"/>
        </w:rPr>
        <w:t>taking into account</w:t>
      </w:r>
      <w:proofErr w:type="gramEnd"/>
      <w:r w:rsidRPr="0024008C">
        <w:rPr>
          <w:rFonts w:ascii="Arial" w:hAnsi="Arial" w:cs="Arial"/>
          <w:sz w:val="24"/>
          <w:szCs w:val="24"/>
        </w:rPr>
        <w:t xml:space="preserve"> the children's best interests (</w:t>
      </w:r>
      <w:r w:rsidRPr="0024008C">
        <w:rPr>
          <w:rFonts w:ascii="Arial" w:hAnsi="Arial" w:cs="Arial"/>
          <w:i/>
          <w:iCs/>
          <w:sz w:val="24"/>
          <w:szCs w:val="24"/>
        </w:rPr>
        <w:t>J.R.A.</w:t>
      </w:r>
      <w:r w:rsidRPr="0024008C">
        <w:rPr>
          <w:rFonts w:ascii="Arial" w:hAnsi="Arial" w:cs="Arial"/>
          <w:sz w:val="24"/>
          <w:szCs w:val="24"/>
        </w:rPr>
        <w:t>, para </w:t>
      </w:r>
      <w:r w:rsidRPr="00431155">
        <w:rPr>
          <w:rFonts w:ascii="Arial" w:hAnsi="Arial" w:cs="Arial"/>
          <w:sz w:val="24"/>
          <w:szCs w:val="24"/>
        </w:rPr>
        <w:t>86</w:t>
      </w:r>
      <w:r w:rsidRPr="0024008C">
        <w:rPr>
          <w:rFonts w:ascii="Arial" w:hAnsi="Arial" w:cs="Arial"/>
          <w:sz w:val="24"/>
          <w:szCs w:val="24"/>
        </w:rPr>
        <w:t xml:space="preserve">). To say that the court does not benefit from an implied authority to </w:t>
      </w:r>
      <w:r>
        <w:rPr>
          <w:rFonts w:ascii="Arial" w:hAnsi="Arial" w:cs="Arial"/>
          <w:sz w:val="24"/>
          <w:szCs w:val="24"/>
        </w:rPr>
        <w:t>[grant costs awards]</w:t>
      </w:r>
      <w:r w:rsidRPr="0024008C">
        <w:rPr>
          <w:rFonts w:ascii="Arial" w:hAnsi="Arial" w:cs="Arial"/>
          <w:sz w:val="24"/>
          <w:szCs w:val="24"/>
        </w:rPr>
        <w:t xml:space="preserve"> ignores the interest this society has in protecting children and fostering their relationship with their parents and extended family, even while in the care of the state.</w:t>
      </w:r>
    </w:p>
    <w:p w14:paraId="6E5FCFDE" w14:textId="77777777" w:rsidR="0024008C" w:rsidRDefault="0024008C" w:rsidP="0024008C">
      <w:pPr>
        <w:pStyle w:val="ListParagraph"/>
        <w:spacing w:line="240" w:lineRule="auto"/>
        <w:rPr>
          <w:rFonts w:ascii="Arial" w:hAnsi="Arial" w:cs="Arial"/>
          <w:sz w:val="24"/>
          <w:szCs w:val="24"/>
        </w:rPr>
      </w:pPr>
    </w:p>
    <w:p w14:paraId="20721F2B" w14:textId="79F92899" w:rsidR="005D7DA0" w:rsidRPr="00431155" w:rsidRDefault="005D7DA0" w:rsidP="005D7DA0">
      <w:pPr>
        <w:pStyle w:val="ListParagraph"/>
        <w:spacing w:line="240" w:lineRule="auto"/>
        <w:contextualSpacing w:val="0"/>
        <w:jc w:val="right"/>
        <w:rPr>
          <w:rFonts w:ascii="Arial" w:hAnsi="Arial" w:cs="Arial"/>
          <w:sz w:val="24"/>
          <w:szCs w:val="24"/>
        </w:rPr>
      </w:pPr>
      <w:r w:rsidRPr="0024008C">
        <w:rPr>
          <w:rFonts w:ascii="Arial" w:hAnsi="Arial" w:cs="Arial"/>
          <w:i/>
          <w:iCs/>
          <w:sz w:val="24"/>
          <w:szCs w:val="24"/>
        </w:rPr>
        <w:t>British Columbia (Child, Family and Community Service) and. L.M.R. and S.F.</w:t>
      </w:r>
      <w:r w:rsidRPr="0024008C">
        <w:rPr>
          <w:rFonts w:ascii="Arial" w:hAnsi="Arial" w:cs="Arial"/>
          <w:sz w:val="24"/>
          <w:szCs w:val="24"/>
        </w:rPr>
        <w:t>, 2021 BCPC 353</w:t>
      </w:r>
      <w:r>
        <w:rPr>
          <w:rFonts w:ascii="Arial" w:hAnsi="Arial" w:cs="Arial"/>
          <w:sz w:val="24"/>
          <w:szCs w:val="24"/>
        </w:rPr>
        <w:t>, at paras. 40-42.</w:t>
      </w:r>
    </w:p>
    <w:p w14:paraId="2E12C090" w14:textId="77777777" w:rsidR="005D7DA0" w:rsidRDefault="005D7DA0" w:rsidP="0024008C">
      <w:pPr>
        <w:pStyle w:val="ListParagraph"/>
        <w:spacing w:line="240" w:lineRule="auto"/>
        <w:rPr>
          <w:rFonts w:ascii="Arial" w:hAnsi="Arial" w:cs="Arial"/>
          <w:sz w:val="24"/>
          <w:szCs w:val="24"/>
        </w:rPr>
      </w:pPr>
    </w:p>
    <w:p w14:paraId="5DFB945A" w14:textId="77D9358E" w:rsidR="0024008C" w:rsidRPr="00A7658C" w:rsidRDefault="0024008C" w:rsidP="0024008C">
      <w:pPr>
        <w:pStyle w:val="ListParagraph"/>
        <w:spacing w:line="240" w:lineRule="auto"/>
        <w:jc w:val="right"/>
        <w:rPr>
          <w:rFonts w:ascii="Arial" w:hAnsi="Arial" w:cs="Arial"/>
          <w:sz w:val="24"/>
          <w:szCs w:val="24"/>
        </w:rPr>
      </w:pPr>
    </w:p>
    <w:sectPr w:rsidR="0024008C" w:rsidRPr="00A7658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A1A25" w14:textId="77777777" w:rsidR="00C70DF0" w:rsidRDefault="00C70DF0" w:rsidP="00C70DF0">
      <w:pPr>
        <w:spacing w:after="0" w:line="240" w:lineRule="auto"/>
      </w:pPr>
      <w:r>
        <w:separator/>
      </w:r>
    </w:p>
  </w:endnote>
  <w:endnote w:type="continuationSeparator" w:id="0">
    <w:p w14:paraId="033762EF" w14:textId="77777777" w:rsidR="00C70DF0" w:rsidRDefault="00C70DF0" w:rsidP="00C70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4"/>
        <w:szCs w:val="24"/>
      </w:rPr>
      <w:id w:val="958449057"/>
      <w:docPartObj>
        <w:docPartGallery w:val="Page Numbers (Bottom of Page)"/>
        <w:docPartUnique/>
      </w:docPartObj>
    </w:sdtPr>
    <w:sdtEndPr>
      <w:rPr>
        <w:noProof/>
      </w:rPr>
    </w:sdtEndPr>
    <w:sdtContent>
      <w:p w14:paraId="30DB2B6E" w14:textId="15313A24" w:rsidR="00206739" w:rsidRPr="00206739" w:rsidRDefault="00206739">
        <w:pPr>
          <w:pStyle w:val="Footer"/>
          <w:jc w:val="center"/>
          <w:rPr>
            <w:rFonts w:ascii="Arial" w:hAnsi="Arial" w:cs="Arial"/>
            <w:sz w:val="24"/>
            <w:szCs w:val="24"/>
          </w:rPr>
        </w:pPr>
        <w:r w:rsidRPr="00206739">
          <w:rPr>
            <w:rFonts w:ascii="Arial" w:hAnsi="Arial" w:cs="Arial"/>
            <w:sz w:val="24"/>
            <w:szCs w:val="24"/>
          </w:rPr>
          <w:fldChar w:fldCharType="begin"/>
        </w:r>
        <w:r w:rsidRPr="00206739">
          <w:rPr>
            <w:rFonts w:ascii="Arial" w:hAnsi="Arial" w:cs="Arial"/>
            <w:sz w:val="24"/>
            <w:szCs w:val="24"/>
          </w:rPr>
          <w:instrText xml:space="preserve"> PAGE   \* MERGEFORMAT </w:instrText>
        </w:r>
        <w:r w:rsidRPr="00206739">
          <w:rPr>
            <w:rFonts w:ascii="Arial" w:hAnsi="Arial" w:cs="Arial"/>
            <w:sz w:val="24"/>
            <w:szCs w:val="24"/>
          </w:rPr>
          <w:fldChar w:fldCharType="separate"/>
        </w:r>
        <w:r w:rsidRPr="00206739">
          <w:rPr>
            <w:rFonts w:ascii="Arial" w:hAnsi="Arial" w:cs="Arial"/>
            <w:noProof/>
            <w:sz w:val="24"/>
            <w:szCs w:val="24"/>
          </w:rPr>
          <w:t>2</w:t>
        </w:r>
        <w:r w:rsidRPr="00206739">
          <w:rPr>
            <w:rFonts w:ascii="Arial" w:hAnsi="Arial" w:cs="Arial"/>
            <w:noProof/>
            <w:sz w:val="24"/>
            <w:szCs w:val="24"/>
          </w:rPr>
          <w:fldChar w:fldCharType="end"/>
        </w:r>
      </w:p>
    </w:sdtContent>
  </w:sdt>
  <w:p w14:paraId="15501DA3" w14:textId="77777777" w:rsidR="00206739" w:rsidRDefault="002067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AA39C" w14:textId="77777777" w:rsidR="00C70DF0" w:rsidRDefault="00C70DF0" w:rsidP="00C70DF0">
      <w:pPr>
        <w:spacing w:after="0" w:line="240" w:lineRule="auto"/>
      </w:pPr>
      <w:r>
        <w:separator/>
      </w:r>
    </w:p>
  </w:footnote>
  <w:footnote w:type="continuationSeparator" w:id="0">
    <w:p w14:paraId="573510CC" w14:textId="77777777" w:rsidR="00C70DF0" w:rsidRDefault="00C70DF0" w:rsidP="00C70D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07D8D"/>
    <w:multiLevelType w:val="hybridMultilevel"/>
    <w:tmpl w:val="8D80ECF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8AB3F56"/>
    <w:multiLevelType w:val="hybridMultilevel"/>
    <w:tmpl w:val="55CCF9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4171EC"/>
    <w:multiLevelType w:val="hybridMultilevel"/>
    <w:tmpl w:val="9E1E704C"/>
    <w:lvl w:ilvl="0" w:tplc="50C86686">
      <w:start w:val="17"/>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FF7622"/>
    <w:multiLevelType w:val="hybridMultilevel"/>
    <w:tmpl w:val="D57A1FB4"/>
    <w:lvl w:ilvl="0" w:tplc="B8680BF4">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55B07681"/>
    <w:multiLevelType w:val="hybridMultilevel"/>
    <w:tmpl w:val="BCC8CC78"/>
    <w:lvl w:ilvl="0" w:tplc="094E64F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4BF053C"/>
    <w:multiLevelType w:val="hybridMultilevel"/>
    <w:tmpl w:val="C0089F32"/>
    <w:lvl w:ilvl="0" w:tplc="8B409F82">
      <w:start w:val="17"/>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347056979">
    <w:abstractNumId w:val="0"/>
  </w:num>
  <w:num w:numId="2" w16cid:durableId="1427385544">
    <w:abstractNumId w:val="2"/>
  </w:num>
  <w:num w:numId="3" w16cid:durableId="1372147231">
    <w:abstractNumId w:val="5"/>
  </w:num>
  <w:num w:numId="4" w16cid:durableId="8935462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58201032">
    <w:abstractNumId w:val="1"/>
  </w:num>
  <w:num w:numId="6" w16cid:durableId="1386151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6E3"/>
    <w:rsid w:val="000152CF"/>
    <w:rsid w:val="00101B28"/>
    <w:rsid w:val="00196357"/>
    <w:rsid w:val="00206739"/>
    <w:rsid w:val="0024008C"/>
    <w:rsid w:val="00431155"/>
    <w:rsid w:val="00441530"/>
    <w:rsid w:val="00452940"/>
    <w:rsid w:val="00474525"/>
    <w:rsid w:val="00514DCF"/>
    <w:rsid w:val="00583886"/>
    <w:rsid w:val="005D7DA0"/>
    <w:rsid w:val="006E4ED4"/>
    <w:rsid w:val="007064BB"/>
    <w:rsid w:val="0077012C"/>
    <w:rsid w:val="009A17C1"/>
    <w:rsid w:val="00A7658C"/>
    <w:rsid w:val="00B10B89"/>
    <w:rsid w:val="00B2779F"/>
    <w:rsid w:val="00BC6868"/>
    <w:rsid w:val="00C70DF0"/>
    <w:rsid w:val="00D876E3"/>
    <w:rsid w:val="00DC342A"/>
    <w:rsid w:val="00E32EA5"/>
    <w:rsid w:val="00F457D3"/>
    <w:rsid w:val="00F57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46F83"/>
  <w15:chartTrackingRefBased/>
  <w15:docId w15:val="{DD0D7D9A-A8F0-4131-8B9D-201920943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83886"/>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6E3"/>
    <w:pPr>
      <w:ind w:left="720"/>
      <w:contextualSpacing/>
    </w:pPr>
  </w:style>
  <w:style w:type="character" w:styleId="Hyperlink">
    <w:name w:val="Hyperlink"/>
    <w:basedOn w:val="DefaultParagraphFont"/>
    <w:uiPriority w:val="99"/>
    <w:unhideWhenUsed/>
    <w:rsid w:val="00B10B89"/>
    <w:rPr>
      <w:color w:val="0563C1" w:themeColor="hyperlink"/>
      <w:u w:val="single"/>
    </w:rPr>
  </w:style>
  <w:style w:type="character" w:styleId="FollowedHyperlink">
    <w:name w:val="FollowedHyperlink"/>
    <w:basedOn w:val="DefaultParagraphFont"/>
    <w:uiPriority w:val="99"/>
    <w:semiHidden/>
    <w:unhideWhenUsed/>
    <w:rsid w:val="00B10B89"/>
    <w:rPr>
      <w:color w:val="954F72" w:themeColor="followedHyperlink"/>
      <w:u w:val="single"/>
    </w:rPr>
  </w:style>
  <w:style w:type="paragraph" w:customStyle="1" w:styleId="para">
    <w:name w:val="para"/>
    <w:basedOn w:val="Normal"/>
    <w:rsid w:val="00B10B8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older">
    <w:name w:val="holder"/>
    <w:basedOn w:val="DefaultParagraphFont"/>
    <w:rsid w:val="00B10B89"/>
  </w:style>
  <w:style w:type="character" w:styleId="FootnoteReference">
    <w:name w:val="footnote reference"/>
    <w:aliases w:val="fr"/>
    <w:basedOn w:val="DefaultParagraphFont"/>
    <w:uiPriority w:val="99"/>
    <w:unhideWhenUsed/>
    <w:rsid w:val="00C70DF0"/>
    <w:rPr>
      <w:vertAlign w:val="superscript"/>
    </w:rPr>
  </w:style>
  <w:style w:type="character" w:customStyle="1" w:styleId="Heading2Char">
    <w:name w:val="Heading 2 Char"/>
    <w:basedOn w:val="DefaultParagraphFont"/>
    <w:link w:val="Heading2"/>
    <w:uiPriority w:val="9"/>
    <w:rsid w:val="00583886"/>
    <w:rPr>
      <w:rFonts w:ascii="Times New Roman" w:eastAsia="Times New Roman" w:hAnsi="Times New Roman" w:cs="Times New Roman"/>
      <w:b/>
      <w:bCs/>
      <w:kern w:val="0"/>
      <w:sz w:val="36"/>
      <w:szCs w:val="36"/>
      <w14:ligatures w14:val="none"/>
    </w:rPr>
  </w:style>
  <w:style w:type="character" w:customStyle="1" w:styleId="reflex3-block">
    <w:name w:val="reflex3-block"/>
    <w:basedOn w:val="DefaultParagraphFont"/>
    <w:rsid w:val="00452940"/>
  </w:style>
  <w:style w:type="paragraph" w:styleId="Header">
    <w:name w:val="header"/>
    <w:basedOn w:val="Normal"/>
    <w:link w:val="HeaderChar"/>
    <w:uiPriority w:val="99"/>
    <w:unhideWhenUsed/>
    <w:rsid w:val="002067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6739"/>
  </w:style>
  <w:style w:type="paragraph" w:styleId="Footer">
    <w:name w:val="footer"/>
    <w:basedOn w:val="Normal"/>
    <w:link w:val="FooterChar"/>
    <w:uiPriority w:val="99"/>
    <w:unhideWhenUsed/>
    <w:rsid w:val="002067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6739"/>
  </w:style>
  <w:style w:type="character" w:customStyle="1" w:styleId="FootnoteTextChar">
    <w:name w:val="Footnote Text Char"/>
    <w:aliases w:val="Footnote Text2 Char1,Footnote Text2 Char Char,Footnote Text Char Char Char,Footnote Text Char2 Char Char Char,Footnote Text Char1 Char Char Char Char,Footnote Text2 Char1 Char Char Char Char,Footnote Text Char Char Char Char Char Char"/>
    <w:basedOn w:val="DefaultParagraphFont"/>
    <w:link w:val="FootnoteText"/>
    <w:uiPriority w:val="99"/>
    <w:semiHidden/>
    <w:locked/>
    <w:rsid w:val="007064BB"/>
    <w:rPr>
      <w:sz w:val="20"/>
      <w:szCs w:val="20"/>
    </w:rPr>
  </w:style>
  <w:style w:type="paragraph" w:styleId="FootnoteText">
    <w:name w:val="footnote text"/>
    <w:aliases w:val="Footnote Text2,Footnote Text2 Char,Footnote Text Char Char,Footnote Text Char2 Char Char,Footnote Text Char1 Char Char Char,Footnote Text2 Char1 Char Char Char,Footnote Text Char Char Char Char Char,fn,5_G,FA Fu"/>
    <w:basedOn w:val="Normal"/>
    <w:link w:val="FootnoteTextChar"/>
    <w:uiPriority w:val="99"/>
    <w:semiHidden/>
    <w:unhideWhenUsed/>
    <w:qFormat/>
    <w:rsid w:val="007064BB"/>
    <w:pPr>
      <w:spacing w:after="0" w:line="240" w:lineRule="auto"/>
    </w:pPr>
    <w:rPr>
      <w:sz w:val="20"/>
      <w:szCs w:val="20"/>
    </w:rPr>
  </w:style>
  <w:style w:type="character" w:customStyle="1" w:styleId="FootnoteTextChar1">
    <w:name w:val="Footnote Text Char1"/>
    <w:basedOn w:val="DefaultParagraphFont"/>
    <w:uiPriority w:val="99"/>
    <w:semiHidden/>
    <w:rsid w:val="007064BB"/>
    <w:rPr>
      <w:sz w:val="20"/>
      <w:szCs w:val="20"/>
    </w:rPr>
  </w:style>
  <w:style w:type="character" w:styleId="UnresolvedMention">
    <w:name w:val="Unresolved Mention"/>
    <w:basedOn w:val="DefaultParagraphFont"/>
    <w:uiPriority w:val="99"/>
    <w:semiHidden/>
    <w:unhideWhenUsed/>
    <w:rsid w:val="002400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95870">
      <w:bodyDiv w:val="1"/>
      <w:marLeft w:val="0"/>
      <w:marRight w:val="0"/>
      <w:marTop w:val="0"/>
      <w:marBottom w:val="0"/>
      <w:divBdr>
        <w:top w:val="none" w:sz="0" w:space="0" w:color="auto"/>
        <w:left w:val="none" w:sz="0" w:space="0" w:color="auto"/>
        <w:bottom w:val="none" w:sz="0" w:space="0" w:color="auto"/>
        <w:right w:val="none" w:sz="0" w:space="0" w:color="auto"/>
      </w:divBdr>
    </w:div>
    <w:div w:id="495533207">
      <w:bodyDiv w:val="1"/>
      <w:marLeft w:val="0"/>
      <w:marRight w:val="0"/>
      <w:marTop w:val="0"/>
      <w:marBottom w:val="0"/>
      <w:divBdr>
        <w:top w:val="none" w:sz="0" w:space="0" w:color="auto"/>
        <w:left w:val="none" w:sz="0" w:space="0" w:color="auto"/>
        <w:bottom w:val="none" w:sz="0" w:space="0" w:color="auto"/>
        <w:right w:val="none" w:sz="0" w:space="0" w:color="auto"/>
      </w:divBdr>
    </w:div>
    <w:div w:id="762530759">
      <w:bodyDiv w:val="1"/>
      <w:marLeft w:val="0"/>
      <w:marRight w:val="0"/>
      <w:marTop w:val="0"/>
      <w:marBottom w:val="0"/>
      <w:divBdr>
        <w:top w:val="none" w:sz="0" w:space="0" w:color="auto"/>
        <w:left w:val="none" w:sz="0" w:space="0" w:color="auto"/>
        <w:bottom w:val="none" w:sz="0" w:space="0" w:color="auto"/>
        <w:right w:val="none" w:sz="0" w:space="0" w:color="auto"/>
      </w:divBdr>
    </w:div>
    <w:div w:id="972171935">
      <w:bodyDiv w:val="1"/>
      <w:marLeft w:val="0"/>
      <w:marRight w:val="0"/>
      <w:marTop w:val="0"/>
      <w:marBottom w:val="0"/>
      <w:divBdr>
        <w:top w:val="none" w:sz="0" w:space="0" w:color="auto"/>
        <w:left w:val="none" w:sz="0" w:space="0" w:color="auto"/>
        <w:bottom w:val="none" w:sz="0" w:space="0" w:color="auto"/>
        <w:right w:val="none" w:sz="0" w:space="0" w:color="auto"/>
      </w:divBdr>
    </w:div>
    <w:div w:id="1199318266">
      <w:bodyDiv w:val="1"/>
      <w:marLeft w:val="0"/>
      <w:marRight w:val="0"/>
      <w:marTop w:val="0"/>
      <w:marBottom w:val="0"/>
      <w:divBdr>
        <w:top w:val="none" w:sz="0" w:space="0" w:color="auto"/>
        <w:left w:val="none" w:sz="0" w:space="0" w:color="auto"/>
        <w:bottom w:val="none" w:sz="0" w:space="0" w:color="auto"/>
        <w:right w:val="none" w:sz="0" w:space="0" w:color="auto"/>
      </w:divBdr>
    </w:div>
    <w:div w:id="1580286623">
      <w:bodyDiv w:val="1"/>
      <w:marLeft w:val="0"/>
      <w:marRight w:val="0"/>
      <w:marTop w:val="0"/>
      <w:marBottom w:val="0"/>
      <w:divBdr>
        <w:top w:val="none" w:sz="0" w:space="0" w:color="auto"/>
        <w:left w:val="none" w:sz="0" w:space="0" w:color="auto"/>
        <w:bottom w:val="none" w:sz="0" w:space="0" w:color="auto"/>
        <w:right w:val="none" w:sz="0" w:space="0" w:color="auto"/>
      </w:divBdr>
    </w:div>
    <w:div w:id="1828323466">
      <w:bodyDiv w:val="1"/>
      <w:marLeft w:val="0"/>
      <w:marRight w:val="0"/>
      <w:marTop w:val="0"/>
      <w:marBottom w:val="0"/>
      <w:divBdr>
        <w:top w:val="none" w:sz="0" w:space="0" w:color="auto"/>
        <w:left w:val="none" w:sz="0" w:space="0" w:color="auto"/>
        <w:bottom w:val="none" w:sz="0" w:space="0" w:color="auto"/>
        <w:right w:val="none" w:sz="0" w:space="0" w:color="auto"/>
      </w:divBdr>
    </w:div>
    <w:div w:id="1833596053">
      <w:bodyDiv w:val="1"/>
      <w:marLeft w:val="0"/>
      <w:marRight w:val="0"/>
      <w:marTop w:val="0"/>
      <w:marBottom w:val="0"/>
      <w:divBdr>
        <w:top w:val="none" w:sz="0" w:space="0" w:color="auto"/>
        <w:left w:val="none" w:sz="0" w:space="0" w:color="auto"/>
        <w:bottom w:val="none" w:sz="0" w:space="0" w:color="auto"/>
        <w:right w:val="none" w:sz="0" w:space="0" w:color="auto"/>
      </w:divBdr>
    </w:div>
    <w:div w:id="1840268011">
      <w:bodyDiv w:val="1"/>
      <w:marLeft w:val="0"/>
      <w:marRight w:val="0"/>
      <w:marTop w:val="0"/>
      <w:marBottom w:val="0"/>
      <w:divBdr>
        <w:top w:val="none" w:sz="0" w:space="0" w:color="auto"/>
        <w:left w:val="none" w:sz="0" w:space="0" w:color="auto"/>
        <w:bottom w:val="none" w:sz="0" w:space="0" w:color="auto"/>
        <w:right w:val="none" w:sz="0" w:space="0" w:color="auto"/>
      </w:divBdr>
    </w:div>
    <w:div w:id="2054500039">
      <w:bodyDiv w:val="1"/>
      <w:marLeft w:val="0"/>
      <w:marRight w:val="0"/>
      <w:marTop w:val="0"/>
      <w:marBottom w:val="0"/>
      <w:divBdr>
        <w:top w:val="none" w:sz="0" w:space="0" w:color="auto"/>
        <w:left w:val="none" w:sz="0" w:space="0" w:color="auto"/>
        <w:bottom w:val="none" w:sz="0" w:space="0" w:color="auto"/>
        <w:right w:val="none" w:sz="0" w:space="0" w:color="auto"/>
      </w:divBdr>
    </w:div>
    <w:div w:id="207454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1</Pages>
  <Words>282</Words>
  <Characters>1613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Feeney</dc:creator>
  <cp:keywords/>
  <dc:description/>
  <cp:lastModifiedBy>Kate Feeney</cp:lastModifiedBy>
  <cp:revision>7</cp:revision>
  <dcterms:created xsi:type="dcterms:W3CDTF">2024-11-25T19:50:00Z</dcterms:created>
  <dcterms:modified xsi:type="dcterms:W3CDTF">2025-03-05T00:00:00Z</dcterms:modified>
</cp:coreProperties>
</file>