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4A8ED" w14:textId="77777777" w:rsidR="002B0C6D" w:rsidRDefault="00CB2586" w:rsidP="002B0C6D">
      <w:pPr>
        <w:spacing w:after="240" w:line="360" w:lineRule="auto"/>
        <w:jc w:val="center"/>
        <w:rPr>
          <w:rFonts w:ascii="Arial" w:hAnsi="Arial" w:cs="Arial"/>
          <w:b/>
          <w:bCs/>
          <w:sz w:val="24"/>
          <w:szCs w:val="24"/>
        </w:rPr>
      </w:pPr>
      <w:r w:rsidRPr="006D53C0">
        <w:rPr>
          <w:rFonts w:ascii="Arial" w:hAnsi="Arial" w:cs="Arial"/>
          <w:b/>
          <w:bCs/>
          <w:sz w:val="24"/>
          <w:szCs w:val="24"/>
        </w:rPr>
        <w:t>Appendix B</w:t>
      </w:r>
      <w:r w:rsidR="002B0C6D">
        <w:rPr>
          <w:rFonts w:ascii="Arial" w:hAnsi="Arial" w:cs="Arial"/>
          <w:b/>
          <w:bCs/>
          <w:sz w:val="24"/>
          <w:szCs w:val="24"/>
        </w:rPr>
        <w:t xml:space="preserve"> to Form 3</w:t>
      </w:r>
    </w:p>
    <w:p w14:paraId="64A194FF" w14:textId="3628F1DB" w:rsidR="0019497E" w:rsidRDefault="002B0C6D" w:rsidP="002B0C6D">
      <w:pPr>
        <w:spacing w:after="240" w:line="360" w:lineRule="auto"/>
        <w:jc w:val="center"/>
        <w:rPr>
          <w:rFonts w:ascii="Arial" w:hAnsi="Arial" w:cs="Arial"/>
          <w:b/>
          <w:bCs/>
          <w:sz w:val="24"/>
          <w:szCs w:val="24"/>
        </w:rPr>
      </w:pPr>
      <w:r>
        <w:rPr>
          <w:rFonts w:ascii="Arial" w:hAnsi="Arial" w:cs="Arial"/>
          <w:b/>
          <w:bCs/>
          <w:sz w:val="24"/>
          <w:szCs w:val="24"/>
        </w:rPr>
        <w:t>LEGAL BASIS AND APPLICATION</w:t>
      </w:r>
    </w:p>
    <w:p w14:paraId="431993C6" w14:textId="4CB26842" w:rsidR="002B0C6D" w:rsidRPr="002B0C6D" w:rsidRDefault="002B0C6D" w:rsidP="002B0C6D">
      <w:pPr>
        <w:pStyle w:val="ListParagraph"/>
        <w:numPr>
          <w:ilvl w:val="0"/>
          <w:numId w:val="6"/>
        </w:numPr>
        <w:spacing w:after="240" w:line="360" w:lineRule="auto"/>
        <w:contextualSpacing w:val="0"/>
        <w:rPr>
          <w:rFonts w:ascii="Arial" w:hAnsi="Arial" w:cs="Arial"/>
          <w:b/>
          <w:bCs/>
          <w:sz w:val="24"/>
          <w:szCs w:val="24"/>
        </w:rPr>
      </w:pPr>
      <w:r>
        <w:rPr>
          <w:rFonts w:ascii="Arial" w:hAnsi="Arial" w:cs="Arial"/>
          <w:b/>
          <w:bCs/>
          <w:sz w:val="24"/>
          <w:szCs w:val="24"/>
        </w:rPr>
        <w:t>Legal Basis</w:t>
      </w:r>
    </w:p>
    <w:p w14:paraId="242CCBCC" w14:textId="77777777" w:rsidR="005051DB" w:rsidRPr="005051DB" w:rsidRDefault="00CB2586" w:rsidP="002B0C6D">
      <w:pPr>
        <w:pStyle w:val="ListParagraph"/>
        <w:numPr>
          <w:ilvl w:val="0"/>
          <w:numId w:val="2"/>
        </w:numPr>
        <w:spacing w:after="240" w:line="360" w:lineRule="auto"/>
        <w:contextualSpacing w:val="0"/>
        <w:rPr>
          <w:rFonts w:ascii="Arial" w:hAnsi="Arial" w:cs="Arial"/>
          <w:i/>
          <w:iCs/>
          <w:sz w:val="24"/>
          <w:szCs w:val="24"/>
        </w:rPr>
      </w:pPr>
      <w:r w:rsidRPr="005051DB">
        <w:rPr>
          <w:rFonts w:ascii="Arial" w:hAnsi="Arial" w:cs="Arial"/>
          <w:sz w:val="24"/>
          <w:szCs w:val="24"/>
        </w:rPr>
        <w:t xml:space="preserve">Section 57 of the </w:t>
      </w:r>
      <w:r w:rsidRPr="005051DB">
        <w:rPr>
          <w:rFonts w:ascii="Arial" w:hAnsi="Arial" w:cs="Arial"/>
          <w:i/>
          <w:iCs/>
          <w:sz w:val="24"/>
          <w:szCs w:val="24"/>
        </w:rPr>
        <w:t>CFCSA</w:t>
      </w:r>
      <w:r w:rsidRPr="005051DB">
        <w:rPr>
          <w:rFonts w:ascii="Arial" w:hAnsi="Arial" w:cs="Arial"/>
          <w:sz w:val="24"/>
          <w:szCs w:val="24"/>
        </w:rPr>
        <w:t xml:space="preserve"> permits courts to change an access order where </w:t>
      </w:r>
      <w:r w:rsidRPr="005051DB">
        <w:rPr>
          <w:rFonts w:ascii="Arial" w:eastAsia="Arial" w:hAnsi="Arial" w:cs="Arial"/>
          <w:sz w:val="24"/>
          <w:szCs w:val="24"/>
        </w:rPr>
        <w:t xml:space="preserve">(a) there has been a significant change in circumstances and (b) the change would be in the child’s best interests. </w:t>
      </w:r>
    </w:p>
    <w:p w14:paraId="53839FF4" w14:textId="45C6A172" w:rsidR="00CB2586" w:rsidRPr="005051DB" w:rsidRDefault="002B0C6D" w:rsidP="002B0C6D">
      <w:pPr>
        <w:spacing w:after="240" w:line="360" w:lineRule="auto"/>
        <w:rPr>
          <w:rFonts w:ascii="Arial" w:hAnsi="Arial" w:cs="Arial"/>
          <w:i/>
          <w:iCs/>
          <w:sz w:val="24"/>
          <w:szCs w:val="24"/>
        </w:rPr>
      </w:pPr>
      <w:r w:rsidRPr="002B0C6D">
        <w:rPr>
          <w:rFonts w:ascii="Arial" w:hAnsi="Arial" w:cs="Arial"/>
          <w:i/>
          <w:iCs/>
          <w:sz w:val="24"/>
          <w:szCs w:val="24"/>
          <w:highlight w:val="yellow"/>
        </w:rPr>
        <w:t>[</w:t>
      </w:r>
      <w:r w:rsidR="00CB2586" w:rsidRPr="002B0C6D">
        <w:rPr>
          <w:rFonts w:ascii="Arial" w:hAnsi="Arial" w:cs="Arial"/>
          <w:i/>
          <w:iCs/>
          <w:sz w:val="24"/>
          <w:szCs w:val="24"/>
          <w:highlight w:val="yellow"/>
        </w:rPr>
        <w:t>If the child is not Indigenous</w:t>
      </w:r>
      <w:r w:rsidRPr="002B0C6D">
        <w:rPr>
          <w:rFonts w:ascii="Arial" w:hAnsi="Arial" w:cs="Arial"/>
          <w:i/>
          <w:iCs/>
          <w:sz w:val="24"/>
          <w:szCs w:val="24"/>
          <w:highlight w:val="yellow"/>
        </w:rPr>
        <w:t>]</w:t>
      </w:r>
    </w:p>
    <w:p w14:paraId="480CC691" w14:textId="460D6315" w:rsidR="005051DB" w:rsidRPr="00B10B89" w:rsidRDefault="005051DB" w:rsidP="002B0C6D">
      <w:pPr>
        <w:pStyle w:val="ListParagraph"/>
        <w:numPr>
          <w:ilvl w:val="0"/>
          <w:numId w:val="2"/>
        </w:numPr>
        <w:spacing w:after="240" w:line="360" w:lineRule="auto"/>
        <w:contextualSpacing w:val="0"/>
        <w:rPr>
          <w:rFonts w:ascii="Arial" w:hAnsi="Arial" w:cs="Arial"/>
          <w:sz w:val="24"/>
          <w:szCs w:val="24"/>
        </w:rPr>
      </w:pPr>
      <w:r w:rsidRPr="00B10B89">
        <w:rPr>
          <w:rFonts w:ascii="Arial" w:hAnsi="Arial" w:cs="Arial"/>
          <w:sz w:val="24"/>
          <w:szCs w:val="24"/>
        </w:rPr>
        <w:t xml:space="preserve">When </w:t>
      </w:r>
      <w:r>
        <w:rPr>
          <w:rFonts w:ascii="Arial" w:hAnsi="Arial" w:cs="Arial"/>
          <w:sz w:val="24"/>
          <w:szCs w:val="24"/>
        </w:rPr>
        <w:t>deciding this application, the court</w:t>
      </w:r>
      <w:r w:rsidRPr="00B10B89">
        <w:rPr>
          <w:rFonts w:ascii="Arial" w:hAnsi="Arial" w:cs="Arial"/>
          <w:sz w:val="24"/>
          <w:szCs w:val="24"/>
        </w:rPr>
        <w:t xml:space="preserve"> must </w:t>
      </w:r>
      <w:r>
        <w:rPr>
          <w:rFonts w:ascii="Arial" w:hAnsi="Arial" w:cs="Arial"/>
          <w:sz w:val="24"/>
          <w:szCs w:val="24"/>
        </w:rPr>
        <w:t>apply</w:t>
      </w:r>
      <w:r w:rsidRPr="00B10B89">
        <w:rPr>
          <w:rFonts w:ascii="Arial" w:hAnsi="Arial" w:cs="Arial"/>
          <w:sz w:val="24"/>
          <w:szCs w:val="24"/>
        </w:rPr>
        <w:t xml:space="preserve"> the definition of the best interests of </w:t>
      </w:r>
      <w:r>
        <w:rPr>
          <w:rFonts w:ascii="Arial" w:hAnsi="Arial" w:cs="Arial"/>
          <w:sz w:val="24"/>
          <w:szCs w:val="24"/>
        </w:rPr>
        <w:t>a</w:t>
      </w:r>
      <w:r w:rsidRPr="00B10B89">
        <w:rPr>
          <w:rFonts w:ascii="Arial" w:hAnsi="Arial" w:cs="Arial"/>
          <w:sz w:val="24"/>
          <w:szCs w:val="24"/>
        </w:rPr>
        <w:t xml:space="preserve"> child from s. 4 of the </w:t>
      </w:r>
      <w:r w:rsidRPr="00B10B89">
        <w:rPr>
          <w:rFonts w:ascii="Arial" w:hAnsi="Arial" w:cs="Arial"/>
          <w:i/>
          <w:iCs/>
          <w:sz w:val="24"/>
          <w:szCs w:val="24"/>
        </w:rPr>
        <w:t>CFCSA</w:t>
      </w:r>
      <w:r w:rsidRPr="00B10B89">
        <w:rPr>
          <w:rFonts w:ascii="Arial" w:hAnsi="Arial" w:cs="Arial"/>
          <w:color w:val="000000"/>
          <w:sz w:val="24"/>
          <w:szCs w:val="24"/>
        </w:rPr>
        <w:t>.</w:t>
      </w:r>
      <w:r>
        <w:rPr>
          <w:rFonts w:ascii="Arial" w:hAnsi="Arial" w:cs="Arial"/>
          <w:color w:val="000000"/>
          <w:sz w:val="24"/>
          <w:szCs w:val="24"/>
        </w:rPr>
        <w:t xml:space="preserve"> The court must also consider the </w:t>
      </w:r>
      <w:r w:rsidR="0019795D" w:rsidRPr="0019795D">
        <w:rPr>
          <w:rFonts w:ascii="Arial" w:hAnsi="Arial" w:cs="Arial"/>
          <w:i/>
          <w:iCs/>
          <w:color w:val="000000"/>
          <w:sz w:val="24"/>
          <w:szCs w:val="24"/>
        </w:rPr>
        <w:t>CFCSA</w:t>
      </w:r>
      <w:r w:rsidR="0019795D">
        <w:rPr>
          <w:rFonts w:ascii="Arial" w:hAnsi="Arial" w:cs="Arial"/>
          <w:color w:val="000000"/>
          <w:sz w:val="24"/>
          <w:szCs w:val="24"/>
        </w:rPr>
        <w:t xml:space="preserve">’s </w:t>
      </w:r>
      <w:r>
        <w:rPr>
          <w:rFonts w:ascii="Arial" w:hAnsi="Arial" w:cs="Arial"/>
          <w:color w:val="000000"/>
          <w:sz w:val="24"/>
          <w:szCs w:val="24"/>
        </w:rPr>
        <w:t>guiding principles set out in s. 2.</w:t>
      </w:r>
    </w:p>
    <w:p w14:paraId="33FC3D2A" w14:textId="0ABB8DB1" w:rsidR="00CB2586" w:rsidRPr="006E4ED4" w:rsidRDefault="002B0C6D" w:rsidP="002B0C6D">
      <w:pPr>
        <w:spacing w:after="240" w:line="360" w:lineRule="auto"/>
        <w:rPr>
          <w:rFonts w:ascii="Arial" w:hAnsi="Arial" w:cs="Arial"/>
          <w:i/>
          <w:iCs/>
          <w:sz w:val="24"/>
          <w:szCs w:val="24"/>
        </w:rPr>
      </w:pPr>
      <w:r w:rsidRPr="002B0C6D">
        <w:rPr>
          <w:rFonts w:ascii="Arial" w:hAnsi="Arial" w:cs="Arial"/>
          <w:i/>
          <w:iCs/>
          <w:sz w:val="24"/>
          <w:szCs w:val="24"/>
          <w:highlight w:val="yellow"/>
        </w:rPr>
        <w:t>[</w:t>
      </w:r>
      <w:r w:rsidR="00CB2586" w:rsidRPr="002B0C6D">
        <w:rPr>
          <w:rFonts w:ascii="Arial" w:hAnsi="Arial" w:cs="Arial"/>
          <w:i/>
          <w:iCs/>
          <w:sz w:val="24"/>
          <w:szCs w:val="24"/>
          <w:highlight w:val="yellow"/>
        </w:rPr>
        <w:t>If the child is Indigenous</w:t>
      </w:r>
      <w:r w:rsidRPr="002B0C6D">
        <w:rPr>
          <w:rFonts w:ascii="Arial" w:hAnsi="Arial" w:cs="Arial"/>
          <w:i/>
          <w:iCs/>
          <w:sz w:val="24"/>
          <w:szCs w:val="24"/>
          <w:highlight w:val="yellow"/>
        </w:rPr>
        <w:t>]</w:t>
      </w:r>
    </w:p>
    <w:p w14:paraId="53E309F9" w14:textId="77777777" w:rsidR="005051DB" w:rsidRPr="00514DCF" w:rsidRDefault="005051DB" w:rsidP="002B0C6D">
      <w:pPr>
        <w:pStyle w:val="ListParagraph"/>
        <w:numPr>
          <w:ilvl w:val="0"/>
          <w:numId w:val="2"/>
        </w:numPr>
        <w:spacing w:after="240" w:line="360" w:lineRule="auto"/>
        <w:contextualSpacing w:val="0"/>
        <w:rPr>
          <w:rFonts w:ascii="Arial" w:eastAsia="Arial" w:hAnsi="Arial" w:cs="Arial"/>
          <w:sz w:val="24"/>
          <w:szCs w:val="24"/>
        </w:rPr>
      </w:pPr>
      <w:r w:rsidRPr="00DC342A">
        <w:rPr>
          <w:rFonts w:ascii="Arial" w:eastAsia="Arial" w:hAnsi="Arial" w:cs="Arial"/>
          <w:sz w:val="24"/>
          <w:szCs w:val="24"/>
        </w:rPr>
        <w:t xml:space="preserve">In cases involving Indigenous children, the </w:t>
      </w:r>
      <w:r w:rsidRPr="00DC342A">
        <w:rPr>
          <w:rFonts w:ascii="Arial" w:eastAsia="Arial" w:hAnsi="Arial" w:cs="Arial"/>
          <w:i/>
          <w:iCs/>
          <w:sz w:val="24"/>
          <w:szCs w:val="24"/>
        </w:rPr>
        <w:t>CFCSA</w:t>
      </w:r>
      <w:r w:rsidRPr="00DC342A">
        <w:rPr>
          <w:rFonts w:ascii="Arial" w:eastAsia="Arial" w:hAnsi="Arial" w:cs="Arial"/>
          <w:sz w:val="24"/>
          <w:szCs w:val="24"/>
        </w:rPr>
        <w:t xml:space="preserve"> applies concurrently with </w:t>
      </w:r>
      <w:r w:rsidRPr="00DC342A">
        <w:rPr>
          <w:rFonts w:ascii="Arial" w:eastAsia="Arial" w:hAnsi="Arial" w:cs="Arial"/>
          <w:i/>
          <w:iCs/>
          <w:sz w:val="24"/>
          <w:szCs w:val="24"/>
        </w:rPr>
        <w:t>An Act respecting First Nations, Inuit and Métis children, youth and families</w:t>
      </w:r>
      <w:r w:rsidRPr="00DC342A">
        <w:rPr>
          <w:rFonts w:ascii="Arial" w:eastAsia="Arial" w:hAnsi="Arial" w:cs="Arial"/>
          <w:sz w:val="24"/>
          <w:szCs w:val="24"/>
        </w:rPr>
        <w:t xml:space="preserve"> (the “</w:t>
      </w:r>
      <w:r w:rsidRPr="00DC342A">
        <w:rPr>
          <w:rFonts w:ascii="Arial" w:eastAsia="Arial" w:hAnsi="Arial" w:cs="Arial"/>
          <w:i/>
          <w:iCs/>
          <w:sz w:val="24"/>
          <w:szCs w:val="24"/>
        </w:rPr>
        <w:t>Federal Act</w:t>
      </w:r>
      <w:r w:rsidRPr="00DC342A">
        <w:rPr>
          <w:rFonts w:ascii="Arial" w:eastAsia="Arial" w:hAnsi="Arial" w:cs="Arial"/>
          <w:sz w:val="24"/>
          <w:szCs w:val="24"/>
        </w:rPr>
        <w:t>”).</w:t>
      </w:r>
      <w:r>
        <w:rPr>
          <w:rFonts w:ascii="Arial" w:eastAsia="Arial" w:hAnsi="Arial" w:cs="Arial"/>
          <w:b/>
          <w:bCs/>
          <w:sz w:val="24"/>
          <w:szCs w:val="24"/>
        </w:rPr>
        <w:t xml:space="preserve"> </w:t>
      </w:r>
      <w:r w:rsidRPr="00DC342A">
        <w:rPr>
          <w:rFonts w:ascii="Arial" w:eastAsia="Arial" w:hAnsi="Arial" w:cs="Arial"/>
          <w:sz w:val="24"/>
          <w:szCs w:val="24"/>
        </w:rPr>
        <w:t xml:space="preserve">Where there is </w:t>
      </w:r>
      <w:r w:rsidRPr="00514DCF">
        <w:rPr>
          <w:rFonts w:ascii="Arial" w:eastAsia="Arial" w:hAnsi="Arial" w:cs="Arial"/>
          <w:sz w:val="24"/>
          <w:szCs w:val="24"/>
        </w:rPr>
        <w:t xml:space="preserve">a conflict or inconsistency, the </w:t>
      </w:r>
      <w:r w:rsidRPr="00514DCF">
        <w:rPr>
          <w:rFonts w:ascii="Arial" w:eastAsia="Arial" w:hAnsi="Arial" w:cs="Arial"/>
          <w:i/>
          <w:iCs/>
          <w:sz w:val="24"/>
          <w:szCs w:val="24"/>
        </w:rPr>
        <w:t>Federal Act</w:t>
      </w:r>
      <w:r w:rsidRPr="00514DCF">
        <w:rPr>
          <w:rFonts w:ascii="Arial" w:eastAsia="Arial" w:hAnsi="Arial" w:cs="Arial"/>
          <w:sz w:val="24"/>
          <w:szCs w:val="24"/>
        </w:rPr>
        <w:t xml:space="preserve"> is paramount.</w:t>
      </w:r>
    </w:p>
    <w:p w14:paraId="57BE6108" w14:textId="77777777" w:rsidR="002B0C6D" w:rsidRDefault="005051DB" w:rsidP="002B0C6D">
      <w:pPr>
        <w:pStyle w:val="ListParagraph"/>
        <w:numPr>
          <w:ilvl w:val="0"/>
          <w:numId w:val="2"/>
        </w:numPr>
        <w:spacing w:after="240" w:line="360" w:lineRule="auto"/>
        <w:contextualSpacing w:val="0"/>
        <w:rPr>
          <w:rFonts w:ascii="Arial" w:eastAsia="Arial" w:hAnsi="Arial" w:cs="Arial"/>
          <w:sz w:val="24"/>
          <w:szCs w:val="24"/>
        </w:rPr>
      </w:pPr>
      <w:r w:rsidRPr="00514DCF">
        <w:rPr>
          <w:rFonts w:ascii="Arial" w:eastAsia="Arial" w:hAnsi="Arial" w:cs="Arial"/>
          <w:sz w:val="24"/>
          <w:szCs w:val="24"/>
        </w:rPr>
        <w:t xml:space="preserve">The </w:t>
      </w:r>
      <w:r w:rsidRPr="00514DCF">
        <w:rPr>
          <w:rFonts w:ascii="Arial" w:eastAsia="Arial" w:hAnsi="Arial" w:cs="Arial"/>
          <w:i/>
          <w:iCs/>
          <w:sz w:val="24"/>
          <w:szCs w:val="24"/>
        </w:rPr>
        <w:t>Federal Act</w:t>
      </w:r>
      <w:r w:rsidRPr="00514DCF">
        <w:rPr>
          <w:rFonts w:ascii="Arial" w:eastAsia="Arial" w:hAnsi="Arial" w:cs="Arial"/>
          <w:sz w:val="24"/>
          <w:szCs w:val="24"/>
        </w:rPr>
        <w:t xml:space="preserve">’s jurisdiction over this case means that when deciding this application, the court must </w:t>
      </w:r>
      <w:r w:rsidR="0019497E">
        <w:rPr>
          <w:rFonts w:ascii="Arial" w:eastAsia="Arial" w:hAnsi="Arial" w:cs="Arial"/>
          <w:sz w:val="24"/>
          <w:szCs w:val="24"/>
        </w:rPr>
        <w:t>consider the</w:t>
      </w:r>
      <w:r w:rsidRPr="00514DCF">
        <w:rPr>
          <w:rFonts w:ascii="Arial" w:eastAsia="Arial" w:hAnsi="Arial" w:cs="Arial"/>
          <w:sz w:val="24"/>
          <w:szCs w:val="24"/>
        </w:rPr>
        <w:t xml:space="preserve"> best interests of an Indigenous child</w:t>
      </w:r>
      <w:r w:rsidR="0019497E">
        <w:rPr>
          <w:rFonts w:ascii="Arial" w:eastAsia="Arial" w:hAnsi="Arial" w:cs="Arial"/>
          <w:sz w:val="24"/>
          <w:szCs w:val="24"/>
        </w:rPr>
        <w:t xml:space="preserve"> (“BIOIC”)</w:t>
      </w:r>
      <w:r w:rsidRPr="00514DCF">
        <w:rPr>
          <w:rFonts w:ascii="Arial" w:eastAsia="Arial" w:hAnsi="Arial" w:cs="Arial"/>
          <w:sz w:val="24"/>
          <w:szCs w:val="24"/>
        </w:rPr>
        <w:t xml:space="preserve"> </w:t>
      </w:r>
      <w:r w:rsidR="0019497E">
        <w:rPr>
          <w:rFonts w:ascii="Arial" w:eastAsia="Arial" w:hAnsi="Arial" w:cs="Arial"/>
          <w:sz w:val="24"/>
          <w:szCs w:val="24"/>
        </w:rPr>
        <w:t>as defined by</w:t>
      </w:r>
      <w:r w:rsidRPr="00514DCF">
        <w:rPr>
          <w:rFonts w:ascii="Arial" w:eastAsia="Arial" w:hAnsi="Arial" w:cs="Arial"/>
          <w:sz w:val="24"/>
          <w:szCs w:val="24"/>
        </w:rPr>
        <w:t xml:space="preserve"> s. 10 of the </w:t>
      </w:r>
      <w:r w:rsidRPr="00514DCF">
        <w:rPr>
          <w:rFonts w:ascii="Arial" w:eastAsia="Arial" w:hAnsi="Arial" w:cs="Arial"/>
          <w:i/>
          <w:iCs/>
          <w:sz w:val="24"/>
          <w:szCs w:val="24"/>
        </w:rPr>
        <w:t>Federal Act</w:t>
      </w:r>
      <w:r w:rsidR="002B0C6D">
        <w:rPr>
          <w:rFonts w:ascii="Arial" w:eastAsia="Arial" w:hAnsi="Arial" w:cs="Arial"/>
          <w:sz w:val="24"/>
          <w:szCs w:val="24"/>
        </w:rPr>
        <w:t>.</w:t>
      </w:r>
      <w:r w:rsidRPr="00514DCF">
        <w:rPr>
          <w:rFonts w:ascii="Arial" w:eastAsia="Arial" w:hAnsi="Arial" w:cs="Arial"/>
          <w:sz w:val="24"/>
          <w:szCs w:val="24"/>
        </w:rPr>
        <w:t xml:space="preserve"> </w:t>
      </w:r>
    </w:p>
    <w:p w14:paraId="480277C3" w14:textId="10BDADBA" w:rsidR="005051DB" w:rsidRPr="00514DCF" w:rsidRDefault="005051DB" w:rsidP="002B0C6D">
      <w:pPr>
        <w:pStyle w:val="ListParagraph"/>
        <w:spacing w:after="240" w:line="360" w:lineRule="auto"/>
        <w:ind w:left="360"/>
        <w:contextualSpacing w:val="0"/>
        <w:jc w:val="right"/>
        <w:rPr>
          <w:rFonts w:ascii="Arial" w:eastAsia="Arial" w:hAnsi="Arial" w:cs="Arial"/>
          <w:sz w:val="24"/>
          <w:szCs w:val="24"/>
        </w:rPr>
      </w:pPr>
      <w:r w:rsidRPr="00514DCF">
        <w:rPr>
          <w:rFonts w:ascii="Arial" w:hAnsi="Arial" w:cs="Arial"/>
          <w:i/>
          <w:iCs/>
          <w:color w:val="212529"/>
          <w:sz w:val="24"/>
          <w:szCs w:val="24"/>
          <w:shd w:val="clear" w:color="auto" w:fill="FFFFFF"/>
        </w:rPr>
        <w:t>British Columbia (Child, Family and Community Service) v</w:t>
      </w:r>
      <w:r w:rsidRPr="00316E7A">
        <w:rPr>
          <w:rFonts w:ascii="Arial" w:eastAsia="Arial" w:hAnsi="Arial" w:cs="Arial"/>
          <w:sz w:val="24"/>
          <w:szCs w:val="24"/>
        </w:rPr>
        <w:t xml:space="preserve">. </w:t>
      </w:r>
      <w:r w:rsidRPr="00316E7A">
        <w:rPr>
          <w:rFonts w:ascii="Arial" w:eastAsia="Arial" w:hAnsi="Arial" w:cs="Arial"/>
          <w:i/>
          <w:iCs/>
          <w:sz w:val="24"/>
          <w:szCs w:val="24"/>
        </w:rPr>
        <w:t>S.H.</w:t>
      </w:r>
      <w:r w:rsidRPr="00316E7A">
        <w:rPr>
          <w:rFonts w:ascii="Arial" w:eastAsia="Arial" w:hAnsi="Arial" w:cs="Arial"/>
          <w:sz w:val="24"/>
          <w:szCs w:val="24"/>
        </w:rPr>
        <w:t>, 2020 BCPC 82</w:t>
      </w:r>
      <w:r w:rsidR="0019497E" w:rsidRPr="00316E7A">
        <w:rPr>
          <w:rFonts w:ascii="Arial" w:eastAsia="Arial" w:hAnsi="Arial" w:cs="Arial"/>
          <w:sz w:val="24"/>
          <w:szCs w:val="24"/>
        </w:rPr>
        <w:t xml:space="preserve"> (“</w:t>
      </w:r>
      <w:r w:rsidR="0019497E" w:rsidRPr="00316E7A">
        <w:rPr>
          <w:rFonts w:ascii="Arial" w:eastAsia="Arial" w:hAnsi="Arial" w:cs="Arial"/>
          <w:i/>
          <w:iCs/>
          <w:sz w:val="24"/>
          <w:szCs w:val="24"/>
        </w:rPr>
        <w:t>S.H.</w:t>
      </w:r>
      <w:r w:rsidR="0019497E" w:rsidRPr="00316E7A">
        <w:rPr>
          <w:rFonts w:ascii="Arial" w:eastAsia="Arial" w:hAnsi="Arial" w:cs="Arial"/>
          <w:sz w:val="24"/>
          <w:szCs w:val="24"/>
        </w:rPr>
        <w:t>”)</w:t>
      </w:r>
      <w:r w:rsidRPr="00316E7A">
        <w:rPr>
          <w:rFonts w:ascii="Arial" w:eastAsia="Arial" w:hAnsi="Arial" w:cs="Arial"/>
          <w:sz w:val="24"/>
          <w:szCs w:val="24"/>
        </w:rPr>
        <w:t xml:space="preserve">, at paras. 124-125. </w:t>
      </w:r>
    </w:p>
    <w:p w14:paraId="64691030" w14:textId="3D79ABB2" w:rsidR="002B0C6D" w:rsidRDefault="0019497E" w:rsidP="002B0C6D">
      <w:pPr>
        <w:pStyle w:val="ListParagraph"/>
        <w:numPr>
          <w:ilvl w:val="0"/>
          <w:numId w:val="2"/>
        </w:numPr>
        <w:pBdr>
          <w:top w:val="nil"/>
          <w:left w:val="nil"/>
          <w:bottom w:val="nil"/>
          <w:right w:val="nil"/>
          <w:between w:val="nil"/>
        </w:pBdr>
        <w:shd w:val="clear" w:color="auto" w:fill="FFFFFF"/>
        <w:spacing w:before="288" w:after="240" w:line="360" w:lineRule="auto"/>
        <w:contextualSpacing w:val="0"/>
        <w:rPr>
          <w:rFonts w:ascii="Arial" w:eastAsia="Arial" w:hAnsi="Arial" w:cs="Arial"/>
          <w:color w:val="333333"/>
          <w:sz w:val="24"/>
          <w:szCs w:val="24"/>
        </w:rPr>
      </w:pPr>
      <w:r>
        <w:rPr>
          <w:rFonts w:ascii="Arial" w:eastAsia="Arial" w:hAnsi="Arial" w:cs="Arial"/>
          <w:sz w:val="24"/>
          <w:szCs w:val="24"/>
        </w:rPr>
        <w:t xml:space="preserve">Further, </w:t>
      </w:r>
      <w:r w:rsidR="002B0C6D">
        <w:rPr>
          <w:rFonts w:ascii="Arial" w:eastAsia="Arial" w:hAnsi="Arial" w:cs="Arial"/>
          <w:sz w:val="24"/>
          <w:szCs w:val="24"/>
        </w:rPr>
        <w:t>when making decisions about access, the</w:t>
      </w:r>
      <w:r w:rsidR="005051DB" w:rsidRPr="00514DCF">
        <w:rPr>
          <w:rFonts w:ascii="Arial" w:eastAsia="Arial" w:hAnsi="Arial" w:cs="Arial"/>
          <w:sz w:val="24"/>
          <w:szCs w:val="24"/>
        </w:rPr>
        <w:t xml:space="preserve"> court must consider the </w:t>
      </w:r>
      <w:r w:rsidR="005051DB" w:rsidRPr="00514DCF">
        <w:rPr>
          <w:rFonts w:ascii="Arial" w:eastAsia="Arial" w:hAnsi="Arial" w:cs="Arial"/>
          <w:i/>
          <w:iCs/>
          <w:sz w:val="24"/>
          <w:szCs w:val="24"/>
        </w:rPr>
        <w:t>Federal Act</w:t>
      </w:r>
      <w:r w:rsidR="005051DB" w:rsidRPr="00514DCF">
        <w:rPr>
          <w:rFonts w:ascii="Arial" w:eastAsia="Arial" w:hAnsi="Arial" w:cs="Arial"/>
          <w:sz w:val="24"/>
          <w:szCs w:val="24"/>
        </w:rPr>
        <w:t>’s purpose and guiding principles set out in s</w:t>
      </w:r>
      <w:r w:rsidR="0019795D">
        <w:rPr>
          <w:rFonts w:ascii="Arial" w:eastAsia="Arial" w:hAnsi="Arial" w:cs="Arial"/>
          <w:sz w:val="24"/>
          <w:szCs w:val="24"/>
        </w:rPr>
        <w:t>s</w:t>
      </w:r>
      <w:r w:rsidR="005051DB" w:rsidRPr="00514DCF">
        <w:rPr>
          <w:rFonts w:ascii="Arial" w:eastAsia="Arial" w:hAnsi="Arial" w:cs="Arial"/>
          <w:sz w:val="24"/>
          <w:szCs w:val="24"/>
        </w:rPr>
        <w:t>. 8</w:t>
      </w:r>
      <w:r w:rsidR="0019795D">
        <w:rPr>
          <w:rFonts w:ascii="Arial" w:eastAsia="Arial" w:hAnsi="Arial" w:cs="Arial"/>
          <w:sz w:val="24"/>
          <w:szCs w:val="24"/>
        </w:rPr>
        <w:t xml:space="preserve"> and 9</w:t>
      </w:r>
      <w:r w:rsidR="005051DB" w:rsidRPr="00514DCF">
        <w:rPr>
          <w:rFonts w:ascii="Arial" w:eastAsia="Arial" w:hAnsi="Arial" w:cs="Arial"/>
          <w:sz w:val="24"/>
          <w:szCs w:val="24"/>
        </w:rPr>
        <w:t>, and its minimum service standards set out in ss. 11 to 17.</w:t>
      </w:r>
      <w:r w:rsidR="002B0C6D">
        <w:rPr>
          <w:rFonts w:ascii="Arial" w:eastAsia="Arial" w:hAnsi="Arial" w:cs="Arial"/>
          <w:sz w:val="24"/>
          <w:szCs w:val="24"/>
        </w:rPr>
        <w:t xml:space="preserve"> </w:t>
      </w:r>
      <w:bookmarkStart w:id="0" w:name="_Hlk191982655"/>
      <w:r w:rsidR="002B0C6D">
        <w:rPr>
          <w:rFonts w:ascii="Arial" w:eastAsia="Arial" w:hAnsi="Arial" w:cs="Arial"/>
          <w:sz w:val="24"/>
          <w:szCs w:val="24"/>
        </w:rPr>
        <w:t>Together, these provisions place an emphasis on the protection of Indigenous children’s cultural and relational continuity.</w:t>
      </w:r>
      <w:bookmarkEnd w:id="0"/>
    </w:p>
    <w:p w14:paraId="40B15969" w14:textId="77777777" w:rsidR="002B0C6D" w:rsidRPr="00E119DE" w:rsidRDefault="002B0C6D" w:rsidP="002B0C6D">
      <w:pPr>
        <w:pStyle w:val="ListParagraph"/>
        <w:numPr>
          <w:ilvl w:val="0"/>
          <w:numId w:val="2"/>
        </w:numPr>
        <w:pBdr>
          <w:top w:val="nil"/>
          <w:left w:val="nil"/>
          <w:bottom w:val="nil"/>
          <w:right w:val="nil"/>
          <w:between w:val="nil"/>
        </w:pBdr>
        <w:shd w:val="clear" w:color="auto" w:fill="FFFFFF"/>
        <w:spacing w:before="288" w:after="240" w:line="360" w:lineRule="auto"/>
        <w:rPr>
          <w:rFonts w:ascii="Arial" w:eastAsia="Arial" w:hAnsi="Arial" w:cs="Arial"/>
          <w:color w:val="333333"/>
          <w:sz w:val="24"/>
          <w:szCs w:val="24"/>
        </w:rPr>
      </w:pPr>
      <w:r w:rsidRPr="00E119DE">
        <w:rPr>
          <w:rFonts w:ascii="Arial" w:eastAsia="Arial" w:hAnsi="Arial" w:cs="Arial"/>
          <w:color w:val="333333"/>
          <w:sz w:val="24"/>
          <w:szCs w:val="24"/>
        </w:rPr>
        <w:t xml:space="preserve">Section 17 of the </w:t>
      </w:r>
      <w:r w:rsidRPr="00E119DE">
        <w:rPr>
          <w:rFonts w:ascii="Arial" w:eastAsia="Arial" w:hAnsi="Arial" w:cs="Arial"/>
          <w:i/>
          <w:iCs/>
          <w:color w:val="333333"/>
          <w:sz w:val="24"/>
          <w:szCs w:val="24"/>
        </w:rPr>
        <w:t>Federal Act</w:t>
      </w:r>
      <w:r>
        <w:rPr>
          <w:rFonts w:ascii="Arial" w:eastAsia="Arial" w:hAnsi="Arial" w:cs="Arial"/>
          <w:color w:val="333333"/>
          <w:sz w:val="24"/>
          <w:szCs w:val="24"/>
        </w:rPr>
        <w:t xml:space="preserve">, in particular, </w:t>
      </w:r>
      <w:r w:rsidRPr="00E119DE">
        <w:rPr>
          <w:rFonts w:ascii="Arial" w:eastAsia="Arial" w:hAnsi="Arial" w:cs="Arial"/>
          <w:color w:val="333333"/>
          <w:sz w:val="24"/>
          <w:szCs w:val="24"/>
        </w:rPr>
        <w:t>provides that:</w:t>
      </w:r>
    </w:p>
    <w:p w14:paraId="6EBFE49D" w14:textId="77777777" w:rsidR="002B0C6D" w:rsidRDefault="002B0C6D" w:rsidP="002B0C6D">
      <w:pPr>
        <w:pBdr>
          <w:top w:val="nil"/>
          <w:left w:val="nil"/>
          <w:bottom w:val="nil"/>
          <w:right w:val="nil"/>
          <w:between w:val="nil"/>
        </w:pBdr>
        <w:shd w:val="clear" w:color="auto" w:fill="FFFFFF"/>
        <w:spacing w:after="240" w:line="360" w:lineRule="auto"/>
        <w:ind w:left="720"/>
        <w:rPr>
          <w:rFonts w:ascii="Arial" w:eastAsia="Arial" w:hAnsi="Arial" w:cs="Arial"/>
          <w:color w:val="333333"/>
          <w:sz w:val="24"/>
          <w:szCs w:val="24"/>
        </w:rPr>
      </w:pPr>
      <w:r w:rsidRPr="006E4ED4">
        <w:rPr>
          <w:rFonts w:ascii="Arial" w:eastAsia="Arial" w:hAnsi="Arial" w:cs="Arial"/>
          <w:b/>
          <w:color w:val="000000"/>
          <w:sz w:val="24"/>
          <w:szCs w:val="24"/>
        </w:rPr>
        <w:lastRenderedPageBreak/>
        <w:t>17</w:t>
      </w:r>
      <w:r w:rsidRPr="006E4ED4">
        <w:rPr>
          <w:rFonts w:ascii="Arial" w:eastAsia="Arial" w:hAnsi="Arial" w:cs="Arial"/>
          <w:color w:val="333333"/>
          <w:sz w:val="24"/>
          <w:szCs w:val="24"/>
        </w:rPr>
        <w:t> </w:t>
      </w:r>
      <w:r w:rsidRPr="006E4ED4">
        <w:rPr>
          <w:rFonts w:ascii="Arial" w:eastAsia="Arial" w:hAnsi="Arial" w:cs="Arial"/>
          <w:color w:val="333333"/>
          <w:sz w:val="24"/>
          <w:szCs w:val="24"/>
        </w:rPr>
        <w:tab/>
        <w:t>In the context of providing child and family services in relation to an Indigenous child, if the child is not placed with a member of his or her family in accordance with paragraph 16(1)(a) or (b), to the extent that doing so is consistent with the best interests of the child, the child’s attachment and emotional ties to each such member of his or her family are to be promoted.</w:t>
      </w:r>
    </w:p>
    <w:p w14:paraId="73692E6F" w14:textId="77777777" w:rsidR="002B0C6D" w:rsidRDefault="005051DB" w:rsidP="002B0C6D">
      <w:pPr>
        <w:pStyle w:val="ListParagraph"/>
        <w:numPr>
          <w:ilvl w:val="0"/>
          <w:numId w:val="2"/>
        </w:numPr>
        <w:pBdr>
          <w:top w:val="nil"/>
          <w:left w:val="nil"/>
          <w:bottom w:val="nil"/>
          <w:right w:val="nil"/>
          <w:between w:val="nil"/>
        </w:pBdr>
        <w:shd w:val="clear" w:color="auto" w:fill="FFFFFF"/>
        <w:spacing w:before="288" w:after="240" w:line="360" w:lineRule="auto"/>
        <w:contextualSpacing w:val="0"/>
        <w:rPr>
          <w:rFonts w:ascii="Arial" w:eastAsia="Arial" w:hAnsi="Arial" w:cs="Arial"/>
          <w:color w:val="333333"/>
          <w:sz w:val="24"/>
          <w:szCs w:val="24"/>
        </w:rPr>
      </w:pPr>
      <w:r>
        <w:rPr>
          <w:rFonts w:ascii="Arial" w:eastAsia="Arial" w:hAnsi="Arial" w:cs="Arial"/>
          <w:color w:val="333333"/>
          <w:sz w:val="24"/>
          <w:szCs w:val="24"/>
        </w:rPr>
        <w:t>Finally</w:t>
      </w:r>
      <w:r w:rsidRPr="00441530">
        <w:rPr>
          <w:rFonts w:ascii="Arial" w:eastAsia="Arial" w:hAnsi="Arial" w:cs="Arial"/>
          <w:color w:val="333333"/>
          <w:sz w:val="24"/>
          <w:szCs w:val="24"/>
        </w:rPr>
        <w:t xml:space="preserve">, </w:t>
      </w:r>
      <w:r>
        <w:rPr>
          <w:rFonts w:ascii="Arial" w:eastAsia="Arial" w:hAnsi="Arial" w:cs="Arial"/>
          <w:color w:val="333333"/>
          <w:sz w:val="24"/>
          <w:szCs w:val="24"/>
        </w:rPr>
        <w:t>the court</w:t>
      </w:r>
      <w:r w:rsidRPr="00441530">
        <w:rPr>
          <w:rFonts w:ascii="Arial" w:eastAsia="Arial" w:hAnsi="Arial" w:cs="Arial"/>
          <w:color w:val="333333"/>
          <w:sz w:val="24"/>
          <w:szCs w:val="24"/>
        </w:rPr>
        <w:t xml:space="preserve"> must consider the </w:t>
      </w:r>
      <w:r>
        <w:rPr>
          <w:rFonts w:ascii="Arial" w:eastAsia="Arial" w:hAnsi="Arial" w:cs="Arial"/>
          <w:color w:val="333333"/>
          <w:sz w:val="24"/>
          <w:szCs w:val="24"/>
        </w:rPr>
        <w:t>historical and social</w:t>
      </w:r>
      <w:r w:rsidRPr="00441530">
        <w:rPr>
          <w:rFonts w:ascii="Arial" w:eastAsia="Arial" w:hAnsi="Arial" w:cs="Arial"/>
          <w:color w:val="333333"/>
          <w:sz w:val="24"/>
          <w:szCs w:val="24"/>
        </w:rPr>
        <w:t xml:space="preserve"> context of ongoing colonialism as </w:t>
      </w:r>
      <w:r>
        <w:rPr>
          <w:rFonts w:ascii="Arial" w:eastAsia="Arial" w:hAnsi="Arial" w:cs="Arial"/>
          <w:color w:val="333333"/>
          <w:sz w:val="24"/>
          <w:szCs w:val="24"/>
        </w:rPr>
        <w:t>outlined</w:t>
      </w:r>
      <w:r w:rsidRPr="00441530">
        <w:rPr>
          <w:rFonts w:ascii="Arial" w:eastAsia="Arial" w:hAnsi="Arial" w:cs="Arial"/>
          <w:color w:val="333333"/>
          <w:sz w:val="24"/>
          <w:szCs w:val="24"/>
        </w:rPr>
        <w:t xml:space="preserve"> in the </w:t>
      </w:r>
      <w:r w:rsidRPr="00441530">
        <w:rPr>
          <w:rFonts w:ascii="Arial" w:eastAsia="Arial" w:hAnsi="Arial" w:cs="Arial"/>
          <w:i/>
          <w:iCs/>
          <w:color w:val="333333"/>
          <w:sz w:val="24"/>
          <w:szCs w:val="24"/>
        </w:rPr>
        <w:t>Federal Act</w:t>
      </w:r>
      <w:r w:rsidRPr="00441530">
        <w:rPr>
          <w:rFonts w:ascii="Arial" w:eastAsia="Arial" w:hAnsi="Arial" w:cs="Arial"/>
          <w:color w:val="333333"/>
          <w:sz w:val="24"/>
          <w:szCs w:val="24"/>
        </w:rPr>
        <w:t>’s preamble</w:t>
      </w:r>
      <w:r w:rsidR="002B0C6D">
        <w:rPr>
          <w:rFonts w:ascii="Arial" w:eastAsia="Arial" w:hAnsi="Arial" w:cs="Arial"/>
          <w:color w:val="333333"/>
          <w:sz w:val="24"/>
          <w:szCs w:val="24"/>
        </w:rPr>
        <w:t>.</w:t>
      </w:r>
    </w:p>
    <w:p w14:paraId="760BF52F" w14:textId="252754B5" w:rsidR="005051DB" w:rsidRPr="00441530" w:rsidRDefault="005051DB" w:rsidP="002B0C6D">
      <w:pPr>
        <w:pStyle w:val="ListParagraph"/>
        <w:pBdr>
          <w:top w:val="nil"/>
          <w:left w:val="nil"/>
          <w:bottom w:val="nil"/>
          <w:right w:val="nil"/>
          <w:between w:val="nil"/>
        </w:pBdr>
        <w:shd w:val="clear" w:color="auto" w:fill="FFFFFF"/>
        <w:spacing w:before="288" w:after="240" w:line="360" w:lineRule="auto"/>
        <w:ind w:left="360"/>
        <w:contextualSpacing w:val="0"/>
        <w:jc w:val="right"/>
        <w:rPr>
          <w:rFonts w:ascii="Arial" w:eastAsia="Arial" w:hAnsi="Arial" w:cs="Arial"/>
          <w:color w:val="333333"/>
          <w:sz w:val="24"/>
          <w:szCs w:val="24"/>
        </w:rPr>
      </w:pPr>
      <w:r w:rsidRPr="00441530">
        <w:rPr>
          <w:rFonts w:ascii="Arial" w:eastAsia="Arial" w:hAnsi="Arial" w:cs="Arial"/>
          <w:i/>
          <w:iCs/>
          <w:sz w:val="24"/>
          <w:szCs w:val="24"/>
        </w:rPr>
        <w:t>J.W. v. British Columbia (Director of Child, Family and Community Service)</w:t>
      </w:r>
      <w:r w:rsidRPr="00441530">
        <w:rPr>
          <w:rFonts w:ascii="Arial" w:eastAsia="Arial" w:hAnsi="Arial" w:cs="Arial"/>
          <w:sz w:val="24"/>
          <w:szCs w:val="24"/>
        </w:rPr>
        <w:t>, 2023 BCSC 512 (“</w:t>
      </w:r>
      <w:r w:rsidRPr="00441530">
        <w:rPr>
          <w:rFonts w:ascii="Arial" w:eastAsia="Arial" w:hAnsi="Arial" w:cs="Arial"/>
          <w:i/>
          <w:iCs/>
          <w:sz w:val="24"/>
          <w:szCs w:val="24"/>
        </w:rPr>
        <w:t>J.W.</w:t>
      </w:r>
      <w:r w:rsidRPr="00441530">
        <w:rPr>
          <w:rFonts w:ascii="Arial" w:eastAsia="Arial" w:hAnsi="Arial" w:cs="Arial"/>
          <w:sz w:val="24"/>
          <w:szCs w:val="24"/>
        </w:rPr>
        <w:t>”), at paras. 62-66.</w:t>
      </w:r>
    </w:p>
    <w:p w14:paraId="70D794BF" w14:textId="277F68CE" w:rsidR="0019795D" w:rsidRPr="006E4ED4" w:rsidRDefault="002B0C6D" w:rsidP="002B0C6D">
      <w:pPr>
        <w:spacing w:after="240" w:line="360" w:lineRule="auto"/>
        <w:rPr>
          <w:rFonts w:ascii="Arial" w:hAnsi="Arial" w:cs="Arial"/>
          <w:i/>
          <w:iCs/>
          <w:sz w:val="24"/>
          <w:szCs w:val="24"/>
        </w:rPr>
      </w:pPr>
      <w:r w:rsidRPr="002B0C6D">
        <w:rPr>
          <w:rFonts w:ascii="Arial" w:hAnsi="Arial" w:cs="Arial"/>
          <w:i/>
          <w:iCs/>
          <w:sz w:val="24"/>
          <w:szCs w:val="24"/>
          <w:highlight w:val="yellow"/>
        </w:rPr>
        <w:t>[</w:t>
      </w:r>
      <w:r w:rsidR="0019795D" w:rsidRPr="002B0C6D">
        <w:rPr>
          <w:rFonts w:ascii="Arial" w:hAnsi="Arial" w:cs="Arial"/>
          <w:i/>
          <w:iCs/>
          <w:sz w:val="24"/>
          <w:szCs w:val="24"/>
          <w:highlight w:val="yellow"/>
        </w:rPr>
        <w:t xml:space="preserve">Optional </w:t>
      </w:r>
      <w:r w:rsidRPr="002B0C6D">
        <w:rPr>
          <w:rFonts w:ascii="Arial" w:hAnsi="Arial" w:cs="Arial"/>
          <w:i/>
          <w:iCs/>
          <w:sz w:val="24"/>
          <w:szCs w:val="24"/>
          <w:highlight w:val="yellow"/>
        </w:rPr>
        <w:t>submissions]</w:t>
      </w:r>
    </w:p>
    <w:p w14:paraId="3D32C651" w14:textId="6E1444A0" w:rsidR="002B0C6D" w:rsidRPr="00712E90" w:rsidRDefault="002B0C6D" w:rsidP="002B0C6D">
      <w:pPr>
        <w:pStyle w:val="ListParagraph"/>
        <w:numPr>
          <w:ilvl w:val="0"/>
          <w:numId w:val="2"/>
        </w:numPr>
        <w:pBdr>
          <w:top w:val="nil"/>
          <w:left w:val="nil"/>
          <w:bottom w:val="nil"/>
          <w:right w:val="nil"/>
          <w:between w:val="nil"/>
        </w:pBdr>
        <w:shd w:val="clear" w:color="auto" w:fill="FFFFFF"/>
        <w:spacing w:before="168" w:after="240" w:line="360" w:lineRule="auto"/>
        <w:contextualSpacing w:val="0"/>
        <w:rPr>
          <w:rFonts w:ascii="Arial" w:eastAsia="Arial" w:hAnsi="Arial" w:cs="Arial"/>
          <w:color w:val="000000"/>
          <w:sz w:val="24"/>
          <w:szCs w:val="24"/>
          <w:highlight w:val="white"/>
        </w:rPr>
      </w:pPr>
      <w:r w:rsidRPr="006E4ED4">
        <w:rPr>
          <w:rFonts w:ascii="Arial" w:eastAsia="Arial" w:hAnsi="Arial" w:cs="Arial"/>
          <w:color w:val="000000"/>
          <w:sz w:val="24"/>
          <w:szCs w:val="24"/>
        </w:rPr>
        <w:t xml:space="preserve">The courts have recognized that </w:t>
      </w:r>
      <w:r>
        <w:rPr>
          <w:rFonts w:ascii="Arial" w:eastAsia="Arial" w:hAnsi="Arial" w:cs="Arial"/>
          <w:color w:val="000000"/>
          <w:sz w:val="24"/>
          <w:szCs w:val="24"/>
        </w:rPr>
        <w:t>a critical</w:t>
      </w:r>
      <w:r w:rsidRPr="006E4ED4">
        <w:rPr>
          <w:rFonts w:ascii="Arial" w:eastAsia="Arial" w:hAnsi="Arial" w:cs="Arial"/>
          <w:color w:val="000000"/>
          <w:sz w:val="24"/>
          <w:szCs w:val="24"/>
        </w:rPr>
        <w:t xml:space="preserve"> consideration in the best interests analysis is the ability of an infant to bond with their birth parent</w:t>
      </w:r>
      <w:r>
        <w:rPr>
          <w:rFonts w:ascii="Arial" w:eastAsia="Arial" w:hAnsi="Arial" w:cs="Arial"/>
          <w:color w:val="000000"/>
          <w:sz w:val="24"/>
          <w:szCs w:val="24"/>
        </w:rPr>
        <w:t xml:space="preserve"> and breastfeed.</w:t>
      </w:r>
    </w:p>
    <w:p w14:paraId="5FEEEB7D" w14:textId="77777777" w:rsidR="002B0C6D" w:rsidRPr="005051DB" w:rsidRDefault="002B0C6D" w:rsidP="002B0C6D">
      <w:pPr>
        <w:pStyle w:val="ListParagraph"/>
        <w:pBdr>
          <w:top w:val="nil"/>
          <w:left w:val="nil"/>
          <w:bottom w:val="nil"/>
          <w:right w:val="nil"/>
          <w:between w:val="nil"/>
        </w:pBdr>
        <w:shd w:val="clear" w:color="auto" w:fill="FFFFFF"/>
        <w:spacing w:before="168" w:after="240" w:line="360" w:lineRule="auto"/>
        <w:ind w:left="360"/>
        <w:contextualSpacing w:val="0"/>
        <w:jc w:val="right"/>
        <w:rPr>
          <w:rFonts w:ascii="Arial" w:eastAsia="Arial" w:hAnsi="Arial" w:cs="Arial"/>
          <w:color w:val="000000"/>
          <w:sz w:val="24"/>
          <w:szCs w:val="24"/>
          <w:highlight w:val="white"/>
        </w:rPr>
      </w:pPr>
      <w:r w:rsidRPr="006E4ED4">
        <w:rPr>
          <w:rFonts w:ascii="Arial" w:eastAsia="Arial" w:hAnsi="Arial" w:cs="Arial"/>
          <w:i/>
          <w:iCs/>
          <w:color w:val="000000"/>
          <w:sz w:val="24"/>
          <w:szCs w:val="24"/>
        </w:rPr>
        <w:t>L.S. v. British Columbia (Director of Child, Family and Community Services)</w:t>
      </w:r>
      <w:r w:rsidRPr="006E4ED4">
        <w:rPr>
          <w:rFonts w:ascii="Arial" w:eastAsia="Arial" w:hAnsi="Arial" w:cs="Arial"/>
          <w:color w:val="000000"/>
          <w:sz w:val="24"/>
          <w:szCs w:val="24"/>
        </w:rPr>
        <w:t>, 2018 BCSC 255.</w:t>
      </w:r>
    </w:p>
    <w:p w14:paraId="6BCD00FC" w14:textId="77777777" w:rsidR="002B0C6D" w:rsidRPr="00732297" w:rsidRDefault="002B0C6D" w:rsidP="002B0C6D">
      <w:pPr>
        <w:pStyle w:val="ListParagraph"/>
        <w:numPr>
          <w:ilvl w:val="0"/>
          <w:numId w:val="2"/>
        </w:numPr>
        <w:pBdr>
          <w:top w:val="nil"/>
          <w:left w:val="nil"/>
          <w:bottom w:val="nil"/>
          <w:right w:val="nil"/>
          <w:between w:val="nil"/>
        </w:pBdr>
        <w:shd w:val="clear" w:color="auto" w:fill="FFFFFF"/>
        <w:spacing w:before="168" w:after="240" w:line="360" w:lineRule="auto"/>
        <w:contextualSpacing w:val="0"/>
        <w:rPr>
          <w:rFonts w:ascii="Arial" w:eastAsia="Arial" w:hAnsi="Arial" w:cs="Arial"/>
          <w:color w:val="333333"/>
          <w:sz w:val="24"/>
          <w:szCs w:val="24"/>
        </w:rPr>
      </w:pPr>
      <w:r>
        <w:rPr>
          <w:rFonts w:ascii="Arial" w:eastAsia="Arial" w:hAnsi="Arial" w:cs="Arial"/>
          <w:sz w:val="24"/>
          <w:szCs w:val="24"/>
        </w:rPr>
        <w:t xml:space="preserve">The importance of protecting an Indigenous child’s relationships does not diminish with time or age. As observed by Justice Walkem in </w:t>
      </w:r>
      <w:r w:rsidRPr="00732297">
        <w:rPr>
          <w:rFonts w:ascii="Arial" w:eastAsia="Arial" w:hAnsi="Arial" w:cs="Arial"/>
          <w:i/>
          <w:iCs/>
          <w:sz w:val="24"/>
          <w:szCs w:val="24"/>
        </w:rPr>
        <w:t>J.W.</w:t>
      </w:r>
      <w:r>
        <w:rPr>
          <w:rFonts w:ascii="Arial" w:eastAsia="Arial" w:hAnsi="Arial" w:cs="Arial"/>
          <w:sz w:val="24"/>
          <w:szCs w:val="24"/>
        </w:rPr>
        <w:t xml:space="preserve"> at para. 85:</w:t>
      </w:r>
    </w:p>
    <w:p w14:paraId="32ABB6F0" w14:textId="77777777" w:rsidR="002B0C6D" w:rsidRPr="00732297" w:rsidRDefault="002B0C6D" w:rsidP="002B0C6D">
      <w:pPr>
        <w:pStyle w:val="ListParagraph"/>
        <w:spacing w:before="240" w:after="240" w:line="360" w:lineRule="auto"/>
        <w:contextualSpacing w:val="0"/>
        <w:rPr>
          <w:rFonts w:ascii="Arial" w:eastAsia="Arial" w:hAnsi="Arial" w:cs="Arial"/>
          <w:color w:val="000000"/>
          <w:sz w:val="24"/>
          <w:szCs w:val="24"/>
        </w:rPr>
      </w:pPr>
      <w:r w:rsidRPr="00732297">
        <w:rPr>
          <w:rFonts w:ascii="Arial" w:eastAsia="Arial" w:hAnsi="Arial" w:cs="Arial"/>
          <w:color w:val="000000"/>
          <w:sz w:val="24"/>
          <w:szCs w:val="24"/>
        </w:rPr>
        <w:t>The message of the Indigenous survivors of the child and family services system in [the </w:t>
      </w:r>
      <w:r w:rsidRPr="00732297">
        <w:rPr>
          <w:rFonts w:ascii="Arial" w:eastAsia="Arial" w:hAnsi="Arial" w:cs="Arial"/>
          <w:i/>
          <w:color w:val="000000"/>
          <w:sz w:val="24"/>
          <w:szCs w:val="24"/>
        </w:rPr>
        <w:t>Brown</w:t>
      </w:r>
      <w:r w:rsidRPr="00732297">
        <w:rPr>
          <w:rFonts w:ascii="Arial" w:eastAsia="Arial" w:hAnsi="Arial" w:cs="Arial"/>
          <w:color w:val="000000"/>
          <w:sz w:val="24"/>
          <w:szCs w:val="24"/>
        </w:rPr>
        <w:t xml:space="preserve"> class action], and reflected in the </w:t>
      </w:r>
      <w:hyperlink r:id="rId8" w:history="1">
        <w:r w:rsidRPr="00732297">
          <w:rPr>
            <w:rStyle w:val="Hyperlink"/>
            <w:rFonts w:ascii="Arial" w:eastAsia="Arial" w:hAnsi="Arial" w:cs="Arial"/>
            <w:i/>
            <w:color w:val="000000"/>
            <w:sz w:val="24"/>
            <w:szCs w:val="24"/>
          </w:rPr>
          <w:t>Federal Act</w:t>
        </w:r>
      </w:hyperlink>
      <w:r w:rsidRPr="00732297">
        <w:rPr>
          <w:rFonts w:ascii="Arial" w:eastAsia="Arial" w:hAnsi="Arial" w:cs="Arial"/>
          <w:color w:val="000000"/>
          <w:sz w:val="24"/>
          <w:szCs w:val="24"/>
        </w:rPr>
        <w:t>, is that Indigenous cultural bonds and connections do not abate in importance over time, but rather are increasingly important as children mature into youth and young adulthood. The </w:t>
      </w:r>
      <w:r w:rsidRPr="00732297">
        <w:rPr>
          <w:rFonts w:ascii="Arial" w:eastAsia="Arial" w:hAnsi="Arial" w:cs="Arial"/>
          <w:i/>
          <w:color w:val="000000"/>
          <w:sz w:val="24"/>
          <w:szCs w:val="24"/>
        </w:rPr>
        <w:t>Federal Act </w:t>
      </w:r>
      <w:r w:rsidRPr="00732297">
        <w:rPr>
          <w:rFonts w:ascii="Arial" w:eastAsia="Arial" w:hAnsi="Arial" w:cs="Arial"/>
          <w:color w:val="000000"/>
          <w:sz w:val="24"/>
          <w:szCs w:val="24"/>
        </w:rPr>
        <w:t>recognizes that protecting the BIOIC requires protecting an Indigenous child’s cultural connections and their attachments and relationships to their extended family, community and territory.</w:t>
      </w:r>
    </w:p>
    <w:p w14:paraId="0095E48A" w14:textId="1368ADC9" w:rsidR="002B0C6D" w:rsidRPr="00795822" w:rsidRDefault="002B0C6D" w:rsidP="002B0C6D">
      <w:pPr>
        <w:pStyle w:val="ListParagraph"/>
        <w:numPr>
          <w:ilvl w:val="0"/>
          <w:numId w:val="2"/>
        </w:numPr>
        <w:spacing w:after="240" w:line="360" w:lineRule="auto"/>
        <w:contextualSpacing w:val="0"/>
        <w:rPr>
          <w:rFonts w:ascii="Arial" w:hAnsi="Arial" w:cs="Arial"/>
          <w:sz w:val="24"/>
          <w:szCs w:val="24"/>
        </w:rPr>
      </w:pPr>
      <w:bookmarkStart w:id="1" w:name="_Hlk191983237"/>
      <w:r>
        <w:rPr>
          <w:rFonts w:ascii="Arial" w:hAnsi="Arial" w:cs="Arial"/>
          <w:sz w:val="24"/>
          <w:szCs w:val="24"/>
        </w:rPr>
        <w:t>Section 5</w:t>
      </w:r>
      <w:r>
        <w:rPr>
          <w:rFonts w:ascii="Arial" w:hAnsi="Arial" w:cs="Arial"/>
          <w:sz w:val="24"/>
          <w:szCs w:val="24"/>
        </w:rPr>
        <w:t>7</w:t>
      </w:r>
      <w:r>
        <w:rPr>
          <w:rFonts w:ascii="Arial" w:hAnsi="Arial" w:cs="Arial"/>
          <w:sz w:val="24"/>
          <w:szCs w:val="24"/>
        </w:rPr>
        <w:t xml:space="preserve"> of the </w:t>
      </w:r>
      <w:r w:rsidRPr="00441530">
        <w:rPr>
          <w:rFonts w:ascii="Arial" w:hAnsi="Arial" w:cs="Arial"/>
          <w:i/>
          <w:iCs/>
          <w:sz w:val="24"/>
          <w:szCs w:val="24"/>
        </w:rPr>
        <w:t>CFCSA</w:t>
      </w:r>
      <w:r>
        <w:rPr>
          <w:rFonts w:ascii="Arial" w:hAnsi="Arial" w:cs="Arial"/>
          <w:sz w:val="24"/>
          <w:szCs w:val="24"/>
        </w:rPr>
        <w:t xml:space="preserve"> must be interpreted and applied in ways that are consistent with </w:t>
      </w:r>
      <w:r w:rsidRPr="00795822">
        <w:rPr>
          <w:rFonts w:ascii="Arial" w:hAnsi="Arial" w:cs="Arial"/>
          <w:sz w:val="24"/>
          <w:szCs w:val="24"/>
        </w:rPr>
        <w:t xml:space="preserve">BC’s </w:t>
      </w:r>
      <w:r w:rsidRPr="00795822">
        <w:rPr>
          <w:rFonts w:ascii="Arial" w:hAnsi="Arial" w:cs="Arial"/>
          <w:i/>
          <w:iCs/>
          <w:sz w:val="24"/>
          <w:szCs w:val="24"/>
        </w:rPr>
        <w:t>Human Rights Code</w:t>
      </w:r>
      <w:r w:rsidRPr="00795822">
        <w:rPr>
          <w:rFonts w:ascii="Arial" w:hAnsi="Arial" w:cs="Arial"/>
          <w:sz w:val="24"/>
          <w:szCs w:val="24"/>
        </w:rPr>
        <w:t xml:space="preserve">. Section 3(b.1) of the </w:t>
      </w:r>
      <w:r w:rsidRPr="00795822">
        <w:rPr>
          <w:rFonts w:ascii="Arial" w:hAnsi="Arial" w:cs="Arial"/>
          <w:i/>
          <w:iCs/>
          <w:sz w:val="24"/>
          <w:szCs w:val="24"/>
        </w:rPr>
        <w:t>CFCSA</w:t>
      </w:r>
      <w:r w:rsidRPr="00795822">
        <w:rPr>
          <w:rFonts w:ascii="Arial" w:hAnsi="Arial" w:cs="Arial"/>
          <w:sz w:val="24"/>
          <w:szCs w:val="24"/>
        </w:rPr>
        <w:t xml:space="preserve"> </w:t>
      </w:r>
      <w:r w:rsidRPr="00795822">
        <w:rPr>
          <w:rFonts w:ascii="Arial" w:eastAsia="Arial" w:hAnsi="Arial" w:cs="Arial"/>
          <w:sz w:val="24"/>
          <w:szCs w:val="24"/>
        </w:rPr>
        <w:t xml:space="preserve">requires that services “be planned and provided in ways that prevent discrimination prohibited by </w:t>
      </w:r>
      <w:r w:rsidRPr="00795822">
        <w:rPr>
          <w:rFonts w:ascii="Arial" w:eastAsia="Arial" w:hAnsi="Arial" w:cs="Arial"/>
          <w:sz w:val="24"/>
          <w:szCs w:val="24"/>
        </w:rPr>
        <w:lastRenderedPageBreak/>
        <w:t>the </w:t>
      </w:r>
      <w:r w:rsidRPr="00795822">
        <w:rPr>
          <w:rFonts w:ascii="Arial" w:eastAsia="Arial" w:hAnsi="Arial" w:cs="Arial"/>
          <w:i/>
          <w:sz w:val="24"/>
          <w:szCs w:val="24"/>
        </w:rPr>
        <w:t>Human Rights Code</w:t>
      </w:r>
      <w:r w:rsidRPr="00795822">
        <w:rPr>
          <w:rFonts w:ascii="Arial" w:eastAsia="Arial" w:hAnsi="Arial" w:cs="Arial"/>
          <w:sz w:val="24"/>
          <w:szCs w:val="24"/>
        </w:rPr>
        <w:t> and that promote substantive equality, respect for rights and culture and, in the case of Indigenous children, cultural continuity.”</w:t>
      </w:r>
    </w:p>
    <w:p w14:paraId="116D4353" w14:textId="6D1C14CC" w:rsidR="002B0C6D" w:rsidRPr="00795822" w:rsidRDefault="002B0C6D" w:rsidP="002B0C6D">
      <w:pPr>
        <w:pStyle w:val="ListParagraph"/>
        <w:numPr>
          <w:ilvl w:val="0"/>
          <w:numId w:val="2"/>
        </w:numPr>
        <w:spacing w:after="240" w:line="360" w:lineRule="auto"/>
        <w:contextualSpacing w:val="0"/>
        <w:rPr>
          <w:rFonts w:ascii="Arial" w:hAnsi="Arial" w:cs="Arial"/>
          <w:sz w:val="24"/>
          <w:szCs w:val="24"/>
        </w:rPr>
      </w:pPr>
      <w:r w:rsidRPr="00795822">
        <w:rPr>
          <w:rFonts w:ascii="Arial" w:hAnsi="Arial" w:cs="Arial"/>
          <w:sz w:val="24"/>
          <w:szCs w:val="24"/>
        </w:rPr>
        <w:t>Section 5</w:t>
      </w:r>
      <w:r>
        <w:rPr>
          <w:rFonts w:ascii="Arial" w:hAnsi="Arial" w:cs="Arial"/>
          <w:sz w:val="24"/>
          <w:szCs w:val="24"/>
        </w:rPr>
        <w:t>7</w:t>
      </w:r>
      <w:r w:rsidRPr="00795822">
        <w:rPr>
          <w:rFonts w:ascii="Arial" w:hAnsi="Arial" w:cs="Arial"/>
          <w:sz w:val="24"/>
          <w:szCs w:val="24"/>
        </w:rPr>
        <w:t xml:space="preserve"> of the </w:t>
      </w:r>
      <w:r w:rsidRPr="00795822">
        <w:rPr>
          <w:rFonts w:ascii="Arial" w:hAnsi="Arial" w:cs="Arial"/>
          <w:i/>
          <w:iCs/>
          <w:sz w:val="24"/>
          <w:szCs w:val="24"/>
        </w:rPr>
        <w:t>CFCSA</w:t>
      </w:r>
      <w:r w:rsidRPr="00795822">
        <w:rPr>
          <w:rFonts w:ascii="Arial" w:hAnsi="Arial" w:cs="Arial"/>
          <w:sz w:val="24"/>
          <w:szCs w:val="24"/>
        </w:rPr>
        <w:t xml:space="preserve"> must be interpreted and applied in ways that are consistent with </w:t>
      </w:r>
      <w:r w:rsidRPr="00795822">
        <w:rPr>
          <w:rFonts w:ascii="Arial" w:hAnsi="Arial" w:cs="Arial"/>
          <w:i/>
          <w:iCs/>
          <w:sz w:val="24"/>
          <w:szCs w:val="24"/>
        </w:rPr>
        <w:t>Charter</w:t>
      </w:r>
      <w:r w:rsidRPr="00795822">
        <w:rPr>
          <w:rFonts w:ascii="Arial" w:hAnsi="Arial" w:cs="Arial"/>
          <w:sz w:val="24"/>
          <w:szCs w:val="24"/>
        </w:rPr>
        <w:t xml:space="preserve"> values and principles, including those arising from ss. 7 and 15 of the </w:t>
      </w:r>
      <w:r w:rsidRPr="00795822">
        <w:rPr>
          <w:rFonts w:ascii="Arial" w:hAnsi="Arial" w:cs="Arial"/>
          <w:i/>
          <w:iCs/>
          <w:sz w:val="24"/>
          <w:szCs w:val="24"/>
        </w:rPr>
        <w:t>Charter</w:t>
      </w:r>
      <w:r w:rsidRPr="00795822">
        <w:rPr>
          <w:rFonts w:ascii="Arial" w:hAnsi="Arial" w:cs="Arial"/>
          <w:sz w:val="24"/>
          <w:szCs w:val="24"/>
        </w:rPr>
        <w:t xml:space="preserve">. </w:t>
      </w:r>
    </w:p>
    <w:p w14:paraId="27BC7BAE" w14:textId="77777777" w:rsidR="002B0C6D" w:rsidRPr="00795822" w:rsidRDefault="002B0C6D" w:rsidP="002B0C6D">
      <w:pPr>
        <w:pStyle w:val="ListParagraph"/>
        <w:spacing w:after="240" w:line="360" w:lineRule="auto"/>
        <w:ind w:left="360"/>
        <w:contextualSpacing w:val="0"/>
        <w:jc w:val="right"/>
        <w:rPr>
          <w:rFonts w:ascii="Arial" w:hAnsi="Arial" w:cs="Arial"/>
          <w:sz w:val="24"/>
          <w:szCs w:val="24"/>
        </w:rPr>
      </w:pPr>
      <w:r w:rsidRPr="00452940">
        <w:rPr>
          <w:rFonts w:ascii="Arial" w:hAnsi="Arial" w:cs="Arial"/>
          <w:i/>
          <w:iCs/>
          <w:color w:val="000000"/>
          <w:sz w:val="24"/>
          <w:szCs w:val="24"/>
        </w:rPr>
        <w:t xml:space="preserve">British Columbia (Director of </w:t>
      </w:r>
      <w:r w:rsidRPr="00712E90">
        <w:rPr>
          <w:rFonts w:ascii="Arial" w:hAnsi="Arial" w:cs="Arial"/>
          <w:i/>
          <w:iCs/>
          <w:color w:val="000000"/>
          <w:sz w:val="24"/>
          <w:szCs w:val="24"/>
        </w:rPr>
        <w:t>Child, Family &amp; Community Service) v. O</w:t>
      </w:r>
      <w:r w:rsidRPr="00712E90">
        <w:rPr>
          <w:rFonts w:ascii="Arial" w:hAnsi="Arial" w:cs="Arial"/>
          <w:color w:val="000000"/>
          <w:sz w:val="24"/>
          <w:szCs w:val="24"/>
        </w:rPr>
        <w:t>, </w:t>
      </w:r>
      <w:r w:rsidRPr="00712E90">
        <w:rPr>
          <w:rFonts w:ascii="Arial" w:hAnsi="Arial" w:cs="Arial"/>
          <w:sz w:val="24"/>
          <w:szCs w:val="24"/>
        </w:rPr>
        <w:t xml:space="preserve">2009 BCSC 1370, at paras. 41-43; </w:t>
      </w:r>
      <w:r w:rsidRPr="00712E90">
        <w:rPr>
          <w:rFonts w:ascii="Arial" w:hAnsi="Arial" w:cs="Arial"/>
          <w:i/>
          <w:iCs/>
          <w:sz w:val="24"/>
          <w:szCs w:val="24"/>
        </w:rPr>
        <w:t xml:space="preserve">British Columbia (Director of Child, Family and Community Service) v D.O.S, </w:t>
      </w:r>
      <w:r w:rsidRPr="00712E90">
        <w:rPr>
          <w:rFonts w:ascii="Arial" w:hAnsi="Arial" w:cs="Arial"/>
          <w:sz w:val="24"/>
          <w:szCs w:val="24"/>
        </w:rPr>
        <w:t>2022 BCSC 168, at para. 84</w:t>
      </w:r>
      <w:r>
        <w:rPr>
          <w:rFonts w:ascii="Arial" w:hAnsi="Arial" w:cs="Arial"/>
          <w:sz w:val="24"/>
          <w:szCs w:val="24"/>
        </w:rPr>
        <w:t>.</w:t>
      </w:r>
    </w:p>
    <w:p w14:paraId="04E18DDB" w14:textId="77777777" w:rsidR="002B0C6D" w:rsidRPr="00DE1DB2" w:rsidRDefault="002B0C6D" w:rsidP="002B0C6D">
      <w:pPr>
        <w:pStyle w:val="ListParagraph"/>
        <w:numPr>
          <w:ilvl w:val="0"/>
          <w:numId w:val="2"/>
        </w:numPr>
        <w:spacing w:after="240" w:line="360" w:lineRule="auto"/>
        <w:contextualSpacing w:val="0"/>
        <w:rPr>
          <w:rFonts w:ascii="Arial" w:hAnsi="Arial" w:cs="Arial"/>
          <w:sz w:val="24"/>
          <w:szCs w:val="24"/>
        </w:rPr>
      </w:pPr>
      <w:r w:rsidRPr="00A46C4D">
        <w:rPr>
          <w:rFonts w:ascii="Arial" w:hAnsi="Arial" w:cs="Arial"/>
          <w:sz w:val="24"/>
          <w:szCs w:val="24"/>
        </w:rPr>
        <w:t xml:space="preserve">The Provincial Court has an essential oversight role </w:t>
      </w:r>
      <w:r>
        <w:rPr>
          <w:rFonts w:ascii="Arial" w:eastAsia="Arial" w:hAnsi="Arial" w:cs="Arial"/>
          <w:sz w:val="24"/>
          <w:szCs w:val="24"/>
        </w:rPr>
        <w:t>throughout</w:t>
      </w:r>
      <w:r w:rsidRPr="00A46C4D">
        <w:rPr>
          <w:rFonts w:ascii="Arial" w:eastAsia="Arial" w:hAnsi="Arial" w:cs="Arial"/>
          <w:sz w:val="24"/>
          <w:szCs w:val="24"/>
        </w:rPr>
        <w:t xml:space="preserve"> </w:t>
      </w:r>
      <w:r w:rsidRPr="00DE1DB2">
        <w:rPr>
          <w:rFonts w:ascii="Arial" w:eastAsia="Arial" w:hAnsi="Arial" w:cs="Arial"/>
          <w:i/>
          <w:iCs/>
          <w:sz w:val="24"/>
          <w:szCs w:val="24"/>
        </w:rPr>
        <w:t>CFCSA</w:t>
      </w:r>
      <w:r w:rsidRPr="00A46C4D">
        <w:rPr>
          <w:rFonts w:ascii="Arial" w:eastAsia="Arial" w:hAnsi="Arial" w:cs="Arial"/>
          <w:sz w:val="24"/>
          <w:szCs w:val="24"/>
        </w:rPr>
        <w:t xml:space="preserve"> </w:t>
      </w:r>
      <w:r>
        <w:rPr>
          <w:rFonts w:ascii="Arial" w:eastAsia="Arial" w:hAnsi="Arial" w:cs="Arial"/>
          <w:sz w:val="24"/>
          <w:szCs w:val="24"/>
        </w:rPr>
        <w:t>proceedings to</w:t>
      </w:r>
      <w:r w:rsidRPr="00A46C4D">
        <w:rPr>
          <w:rFonts w:ascii="Arial" w:eastAsia="Arial" w:hAnsi="Arial" w:cs="Arial"/>
          <w:sz w:val="24"/>
          <w:szCs w:val="24"/>
        </w:rPr>
        <w:t xml:space="preserve"> consider the Director’s conduct and </w:t>
      </w:r>
      <w:r>
        <w:rPr>
          <w:rFonts w:ascii="Arial" w:eastAsia="Arial" w:hAnsi="Arial" w:cs="Arial"/>
          <w:sz w:val="24"/>
          <w:szCs w:val="24"/>
        </w:rPr>
        <w:t xml:space="preserve">to </w:t>
      </w:r>
      <w:r w:rsidRPr="00A46C4D">
        <w:rPr>
          <w:rFonts w:ascii="Arial" w:eastAsia="Arial" w:hAnsi="Arial" w:cs="Arial"/>
          <w:sz w:val="24"/>
          <w:szCs w:val="24"/>
        </w:rPr>
        <w:t xml:space="preserve">ensure the </w:t>
      </w:r>
      <w:r w:rsidRPr="00795822">
        <w:rPr>
          <w:rFonts w:ascii="Arial" w:eastAsia="Arial" w:hAnsi="Arial" w:cs="Arial"/>
          <w:i/>
          <w:iCs/>
          <w:sz w:val="24"/>
          <w:szCs w:val="24"/>
        </w:rPr>
        <w:t>Charter</w:t>
      </w:r>
      <w:r w:rsidRPr="00A46C4D">
        <w:rPr>
          <w:rFonts w:ascii="Arial" w:eastAsia="Arial" w:hAnsi="Arial" w:cs="Arial"/>
          <w:sz w:val="24"/>
          <w:szCs w:val="24"/>
        </w:rPr>
        <w:t xml:space="preserve"> rights of parents and children. </w:t>
      </w:r>
    </w:p>
    <w:p w14:paraId="5C0BB8E6" w14:textId="77777777" w:rsidR="002B0C6D" w:rsidRPr="00DE1DB2" w:rsidRDefault="002B0C6D" w:rsidP="002B0C6D">
      <w:pPr>
        <w:pStyle w:val="ListParagraph"/>
        <w:spacing w:line="360" w:lineRule="auto"/>
        <w:ind w:left="360"/>
        <w:contextualSpacing w:val="0"/>
        <w:jc w:val="right"/>
        <w:rPr>
          <w:rFonts w:ascii="Arial" w:hAnsi="Arial" w:cs="Arial"/>
          <w:sz w:val="24"/>
          <w:szCs w:val="24"/>
        </w:rPr>
      </w:pPr>
      <w:r w:rsidRPr="00A46C4D">
        <w:rPr>
          <w:rFonts w:ascii="Arial" w:hAnsi="Arial" w:cs="Arial"/>
          <w:i/>
          <w:iCs/>
          <w:color w:val="212529"/>
          <w:sz w:val="24"/>
          <w:szCs w:val="24"/>
          <w:shd w:val="clear" w:color="auto" w:fill="FFFFFF"/>
        </w:rPr>
        <w:t>B.J.T. v. J.D.</w:t>
      </w:r>
      <w:r w:rsidRPr="00A46C4D">
        <w:rPr>
          <w:rFonts w:ascii="Arial" w:hAnsi="Arial" w:cs="Arial"/>
          <w:color w:val="212529"/>
          <w:sz w:val="24"/>
          <w:szCs w:val="24"/>
          <w:shd w:val="clear" w:color="auto" w:fill="FFFFFF"/>
        </w:rPr>
        <w:t xml:space="preserve">, </w:t>
      </w:r>
      <w:r w:rsidRPr="00A46C4D">
        <w:rPr>
          <w:rFonts w:ascii="Arial" w:hAnsi="Arial" w:cs="Arial"/>
          <w:sz w:val="24"/>
          <w:szCs w:val="24"/>
          <w:shd w:val="clear" w:color="auto" w:fill="FFFFFF"/>
        </w:rPr>
        <w:t>2022 SCC 24</w:t>
      </w:r>
      <w:r>
        <w:rPr>
          <w:rFonts w:ascii="Arial" w:hAnsi="Arial" w:cs="Arial"/>
          <w:color w:val="212529"/>
          <w:sz w:val="24"/>
          <w:szCs w:val="24"/>
          <w:shd w:val="clear" w:color="auto" w:fill="FFFFFF"/>
        </w:rPr>
        <w:t>,</w:t>
      </w:r>
      <w:r w:rsidRPr="00A46C4D">
        <w:rPr>
          <w:rFonts w:ascii="Arial" w:hAnsi="Arial" w:cs="Arial"/>
          <w:color w:val="212529"/>
          <w:sz w:val="24"/>
          <w:szCs w:val="24"/>
          <w:shd w:val="clear" w:color="auto" w:fill="FFFFFF"/>
        </w:rPr>
        <w:t xml:space="preserve"> at paras. 63-67.</w:t>
      </w:r>
    </w:p>
    <w:p w14:paraId="48C149CD" w14:textId="4171835E" w:rsidR="002B0C6D" w:rsidRDefault="002B0C6D" w:rsidP="002B0C6D">
      <w:pPr>
        <w:pStyle w:val="ListParagraph"/>
        <w:numPr>
          <w:ilvl w:val="0"/>
          <w:numId w:val="2"/>
        </w:numPr>
        <w:spacing w:after="240" w:line="360" w:lineRule="auto"/>
        <w:contextualSpacing w:val="0"/>
        <w:rPr>
          <w:rFonts w:ascii="Arial" w:hAnsi="Arial" w:cs="Arial"/>
          <w:sz w:val="24"/>
          <w:szCs w:val="24"/>
        </w:rPr>
      </w:pPr>
      <w:r>
        <w:rPr>
          <w:rFonts w:ascii="Arial" w:hAnsi="Arial" w:cs="Arial"/>
          <w:sz w:val="24"/>
          <w:szCs w:val="24"/>
        </w:rPr>
        <w:t>Section 5</w:t>
      </w:r>
      <w:r>
        <w:rPr>
          <w:rFonts w:ascii="Arial" w:hAnsi="Arial" w:cs="Arial"/>
          <w:sz w:val="24"/>
          <w:szCs w:val="24"/>
        </w:rPr>
        <w:t>7</w:t>
      </w:r>
      <w:r>
        <w:rPr>
          <w:rFonts w:ascii="Arial" w:hAnsi="Arial" w:cs="Arial"/>
          <w:sz w:val="24"/>
          <w:szCs w:val="24"/>
        </w:rPr>
        <w:t xml:space="preserve"> of the </w:t>
      </w:r>
      <w:r w:rsidRPr="00343ADB">
        <w:rPr>
          <w:rFonts w:ascii="Arial" w:hAnsi="Arial" w:cs="Arial"/>
          <w:i/>
          <w:iCs/>
          <w:sz w:val="24"/>
          <w:szCs w:val="24"/>
        </w:rPr>
        <w:t>CFCSA</w:t>
      </w:r>
      <w:r>
        <w:rPr>
          <w:rFonts w:ascii="Arial" w:hAnsi="Arial" w:cs="Arial"/>
          <w:sz w:val="24"/>
          <w:szCs w:val="24"/>
        </w:rPr>
        <w:t xml:space="preserve"> must be interpreted and applied in ways that are consistent with t</w:t>
      </w:r>
      <w:r w:rsidRPr="00452940">
        <w:rPr>
          <w:rFonts w:ascii="Arial" w:hAnsi="Arial" w:cs="Arial"/>
          <w:sz w:val="24"/>
          <w:szCs w:val="24"/>
        </w:rPr>
        <w:t>he</w:t>
      </w:r>
      <w:r>
        <w:rPr>
          <w:rFonts w:ascii="Arial" w:hAnsi="Arial" w:cs="Arial"/>
          <w:sz w:val="24"/>
          <w:szCs w:val="24"/>
        </w:rPr>
        <w:t xml:space="preserve"> values and principles of </w:t>
      </w:r>
      <w:r w:rsidRPr="009A17C1">
        <w:rPr>
          <w:rFonts w:ascii="Arial" w:hAnsi="Arial" w:cs="Arial"/>
          <w:sz w:val="24"/>
          <w:szCs w:val="24"/>
        </w:rPr>
        <w:t xml:space="preserve">the </w:t>
      </w:r>
      <w:r w:rsidRPr="009A17C1">
        <w:rPr>
          <w:rFonts w:ascii="Arial" w:hAnsi="Arial" w:cs="Arial"/>
          <w:i/>
          <w:iCs/>
          <w:sz w:val="24"/>
          <w:szCs w:val="24"/>
        </w:rPr>
        <w:t>Convention on the Rights of the Child</w:t>
      </w:r>
      <w:r w:rsidRPr="009A17C1">
        <w:rPr>
          <w:rFonts w:ascii="Arial" w:hAnsi="Arial" w:cs="Arial"/>
          <w:sz w:val="24"/>
          <w:szCs w:val="24"/>
        </w:rPr>
        <w:t>, including</w:t>
      </w:r>
      <w:r>
        <w:rPr>
          <w:rFonts w:ascii="Arial" w:hAnsi="Arial" w:cs="Arial"/>
          <w:sz w:val="24"/>
          <w:szCs w:val="24"/>
        </w:rPr>
        <w:t xml:space="preserve"> those arising from</w:t>
      </w:r>
      <w:r w:rsidRPr="009A17C1">
        <w:rPr>
          <w:rFonts w:ascii="Arial" w:hAnsi="Arial" w:cs="Arial"/>
          <w:sz w:val="24"/>
          <w:szCs w:val="24"/>
        </w:rPr>
        <w:t xml:space="preserve"> Articles 5, 8(1), 9(3), 20(1), 20(3) and 30</w:t>
      </w:r>
      <w:r>
        <w:rPr>
          <w:rFonts w:ascii="Arial" w:hAnsi="Arial" w:cs="Arial"/>
          <w:sz w:val="24"/>
          <w:szCs w:val="24"/>
        </w:rPr>
        <w:t>.</w:t>
      </w:r>
    </w:p>
    <w:p w14:paraId="3A391165" w14:textId="77777777" w:rsidR="002B0C6D" w:rsidRPr="009A17C1" w:rsidRDefault="002B0C6D" w:rsidP="002B0C6D">
      <w:pPr>
        <w:pStyle w:val="ListParagraph"/>
        <w:spacing w:after="240" w:line="360" w:lineRule="auto"/>
        <w:ind w:left="1080"/>
        <w:contextualSpacing w:val="0"/>
        <w:jc w:val="right"/>
        <w:rPr>
          <w:rFonts w:ascii="Arial" w:hAnsi="Arial" w:cs="Arial"/>
          <w:sz w:val="24"/>
          <w:szCs w:val="24"/>
        </w:rPr>
      </w:pPr>
      <w:r w:rsidRPr="009A17C1">
        <w:rPr>
          <w:rFonts w:ascii="Arial" w:hAnsi="Arial" w:cs="Arial"/>
          <w:i/>
          <w:iCs/>
          <w:color w:val="212529"/>
          <w:sz w:val="24"/>
          <w:szCs w:val="24"/>
          <w:shd w:val="clear" w:color="auto" w:fill="FFFFFF"/>
        </w:rPr>
        <w:t>Baker v. Canada (Minister of Citizenship and Immigration)</w:t>
      </w:r>
      <w:r w:rsidRPr="009A17C1">
        <w:rPr>
          <w:rFonts w:ascii="Arial" w:hAnsi="Arial" w:cs="Arial"/>
          <w:color w:val="212529"/>
          <w:sz w:val="24"/>
          <w:szCs w:val="24"/>
          <w:shd w:val="clear" w:color="auto" w:fill="FFFFFF"/>
        </w:rPr>
        <w:t>, 1999 CanLII 699 (SCC),</w:t>
      </w:r>
      <w:r w:rsidRPr="009A17C1">
        <w:rPr>
          <w:rFonts w:ascii="Arial" w:hAnsi="Arial" w:cs="Arial"/>
          <w:sz w:val="24"/>
          <w:szCs w:val="24"/>
        </w:rPr>
        <w:t xml:space="preserve"> </w:t>
      </w:r>
      <w:r>
        <w:rPr>
          <w:rFonts w:ascii="Arial" w:hAnsi="Arial" w:cs="Arial"/>
          <w:sz w:val="24"/>
          <w:szCs w:val="24"/>
        </w:rPr>
        <w:t xml:space="preserve">at </w:t>
      </w:r>
      <w:r w:rsidRPr="009A17C1">
        <w:rPr>
          <w:rFonts w:ascii="Arial" w:hAnsi="Arial" w:cs="Arial"/>
          <w:sz w:val="24"/>
          <w:szCs w:val="24"/>
        </w:rPr>
        <w:t>paras. 69-71</w:t>
      </w:r>
      <w:r>
        <w:rPr>
          <w:rFonts w:ascii="Arial" w:hAnsi="Arial" w:cs="Arial"/>
          <w:sz w:val="24"/>
          <w:szCs w:val="24"/>
        </w:rPr>
        <w:t>.</w:t>
      </w:r>
    </w:p>
    <w:p w14:paraId="3A5D13F4" w14:textId="5F1317AD" w:rsidR="002B0C6D" w:rsidRPr="00A46C4D" w:rsidRDefault="002B0C6D" w:rsidP="002B0C6D">
      <w:pPr>
        <w:pStyle w:val="ListParagraph"/>
        <w:numPr>
          <w:ilvl w:val="0"/>
          <w:numId w:val="2"/>
        </w:numPr>
        <w:spacing w:after="240" w:line="360" w:lineRule="auto"/>
        <w:contextualSpacing w:val="0"/>
        <w:rPr>
          <w:rFonts w:ascii="Arial" w:hAnsi="Arial" w:cs="Arial"/>
          <w:sz w:val="24"/>
          <w:szCs w:val="24"/>
        </w:rPr>
      </w:pPr>
      <w:r>
        <w:rPr>
          <w:rFonts w:ascii="Arial" w:hAnsi="Arial" w:cs="Arial"/>
          <w:sz w:val="24"/>
          <w:szCs w:val="24"/>
        </w:rPr>
        <w:t>Section 5</w:t>
      </w:r>
      <w:r>
        <w:rPr>
          <w:rFonts w:ascii="Arial" w:hAnsi="Arial" w:cs="Arial"/>
          <w:sz w:val="24"/>
          <w:szCs w:val="24"/>
        </w:rPr>
        <w:t>7</w:t>
      </w:r>
      <w:r>
        <w:rPr>
          <w:rFonts w:ascii="Arial" w:hAnsi="Arial" w:cs="Arial"/>
          <w:sz w:val="24"/>
          <w:szCs w:val="24"/>
        </w:rPr>
        <w:t xml:space="preserve"> of the </w:t>
      </w:r>
      <w:r w:rsidRPr="00343ADB">
        <w:rPr>
          <w:rFonts w:ascii="Arial" w:hAnsi="Arial" w:cs="Arial"/>
          <w:i/>
          <w:iCs/>
          <w:sz w:val="24"/>
          <w:szCs w:val="24"/>
        </w:rPr>
        <w:t>CFCSA</w:t>
      </w:r>
      <w:r>
        <w:rPr>
          <w:rFonts w:ascii="Arial" w:hAnsi="Arial" w:cs="Arial"/>
          <w:sz w:val="24"/>
          <w:szCs w:val="24"/>
        </w:rPr>
        <w:t xml:space="preserve"> must be interpreted and applied in ways that are consistent with the values and principles of the </w:t>
      </w:r>
      <w:r w:rsidRPr="00452940">
        <w:rPr>
          <w:rFonts w:ascii="Arial" w:hAnsi="Arial" w:cs="Arial"/>
          <w:i/>
          <w:iCs/>
          <w:sz w:val="24"/>
          <w:szCs w:val="24"/>
        </w:rPr>
        <w:t>United Nations Declaration on the Rights of Indigenous Peoples</w:t>
      </w:r>
      <w:r w:rsidRPr="00452940">
        <w:rPr>
          <w:rFonts w:ascii="Arial" w:hAnsi="Arial" w:cs="Arial"/>
          <w:sz w:val="24"/>
          <w:szCs w:val="24"/>
        </w:rPr>
        <w:t xml:space="preserve">, including Articles 7-9, </w:t>
      </w:r>
      <w:r w:rsidRPr="00A46C4D">
        <w:rPr>
          <w:rFonts w:ascii="Arial" w:hAnsi="Arial" w:cs="Arial"/>
          <w:sz w:val="24"/>
          <w:szCs w:val="24"/>
        </w:rPr>
        <w:t>11, and 13.</w:t>
      </w:r>
    </w:p>
    <w:p w14:paraId="05E47026" w14:textId="5D77DAF5" w:rsidR="002B0C6D" w:rsidRPr="002B0C6D" w:rsidRDefault="002B0C6D" w:rsidP="002B0C6D">
      <w:pPr>
        <w:pStyle w:val="ListParagraph"/>
        <w:spacing w:after="240" w:line="360" w:lineRule="auto"/>
        <w:ind w:left="1080"/>
        <w:contextualSpacing w:val="0"/>
        <w:jc w:val="right"/>
        <w:rPr>
          <w:rFonts w:ascii="Arial" w:hAnsi="Arial" w:cs="Arial"/>
          <w:color w:val="212529"/>
          <w:sz w:val="24"/>
          <w:szCs w:val="24"/>
          <w:shd w:val="clear" w:color="auto" w:fill="FFFFFF"/>
        </w:rPr>
      </w:pPr>
      <w:r w:rsidRPr="00A46C4D">
        <w:rPr>
          <w:rFonts w:ascii="Arial" w:hAnsi="Arial" w:cs="Arial"/>
          <w:i/>
          <w:iCs/>
          <w:color w:val="212529"/>
          <w:sz w:val="24"/>
          <w:szCs w:val="24"/>
          <w:shd w:val="clear" w:color="auto" w:fill="FFFFFF"/>
        </w:rPr>
        <w:t>K.K.M. V. T.J.S.</w:t>
      </w:r>
      <w:r w:rsidRPr="00A46C4D">
        <w:rPr>
          <w:rFonts w:ascii="Arial" w:hAnsi="Arial" w:cs="Arial"/>
          <w:color w:val="212529"/>
          <w:sz w:val="24"/>
          <w:szCs w:val="24"/>
          <w:shd w:val="clear" w:color="auto" w:fill="FFFFFF"/>
        </w:rPr>
        <w:t xml:space="preserve">, </w:t>
      </w:r>
      <w:r w:rsidRPr="00A46C4D">
        <w:rPr>
          <w:rFonts w:ascii="Arial" w:hAnsi="Arial" w:cs="Arial"/>
          <w:sz w:val="24"/>
          <w:szCs w:val="24"/>
          <w:shd w:val="clear" w:color="auto" w:fill="FFFFFF"/>
        </w:rPr>
        <w:t>2021 BCPC 316</w:t>
      </w:r>
      <w:r w:rsidRPr="00A46C4D">
        <w:rPr>
          <w:rFonts w:ascii="Arial" w:hAnsi="Arial" w:cs="Arial"/>
          <w:color w:val="212529"/>
          <w:sz w:val="24"/>
          <w:szCs w:val="24"/>
          <w:shd w:val="clear" w:color="auto" w:fill="FFFFFF"/>
        </w:rPr>
        <w:t>, at paras. 76-78.</w:t>
      </w:r>
      <w:bookmarkEnd w:id="1"/>
    </w:p>
    <w:p w14:paraId="5D087950" w14:textId="63B087C2" w:rsidR="00911DFD" w:rsidRPr="002B0C6D" w:rsidRDefault="00911DFD" w:rsidP="002B0C6D">
      <w:pPr>
        <w:pStyle w:val="ListParagraph"/>
        <w:numPr>
          <w:ilvl w:val="0"/>
          <w:numId w:val="6"/>
        </w:numPr>
        <w:spacing w:after="240" w:line="360" w:lineRule="auto"/>
        <w:contextualSpacing w:val="0"/>
        <w:rPr>
          <w:rFonts w:ascii="Arial" w:hAnsi="Arial" w:cs="Arial"/>
          <w:b/>
          <w:bCs/>
          <w:sz w:val="24"/>
          <w:szCs w:val="24"/>
        </w:rPr>
      </w:pPr>
      <w:r w:rsidRPr="002B0C6D">
        <w:rPr>
          <w:rFonts w:ascii="Arial" w:hAnsi="Arial" w:cs="Arial"/>
          <w:b/>
          <w:bCs/>
          <w:sz w:val="24"/>
          <w:szCs w:val="24"/>
        </w:rPr>
        <w:t>There has been a significant change of circumstances.</w:t>
      </w:r>
    </w:p>
    <w:p w14:paraId="12955D14" w14:textId="48134FD8" w:rsidR="00911DFD" w:rsidRDefault="00911DFD" w:rsidP="002B0C6D">
      <w:pPr>
        <w:pStyle w:val="ListParagraph"/>
        <w:numPr>
          <w:ilvl w:val="0"/>
          <w:numId w:val="2"/>
        </w:numPr>
        <w:spacing w:after="240" w:line="360" w:lineRule="auto"/>
        <w:contextualSpacing w:val="0"/>
        <w:rPr>
          <w:rFonts w:ascii="Arial" w:hAnsi="Arial" w:cs="Arial"/>
          <w:sz w:val="24"/>
          <w:szCs w:val="24"/>
        </w:rPr>
      </w:pPr>
      <w:r>
        <w:rPr>
          <w:rFonts w:ascii="Arial" w:hAnsi="Arial" w:cs="Arial"/>
          <w:sz w:val="24"/>
          <w:szCs w:val="24"/>
        </w:rPr>
        <w:t>Insert.</w:t>
      </w:r>
    </w:p>
    <w:p w14:paraId="7BE19564" w14:textId="2F082C24" w:rsidR="002B0C6D" w:rsidRDefault="002B0C6D" w:rsidP="002B0C6D">
      <w:pPr>
        <w:pStyle w:val="ListParagraph"/>
        <w:numPr>
          <w:ilvl w:val="0"/>
          <w:numId w:val="2"/>
        </w:numPr>
        <w:spacing w:after="240" w:line="360" w:lineRule="auto"/>
        <w:contextualSpacing w:val="0"/>
        <w:rPr>
          <w:rFonts w:ascii="Arial" w:hAnsi="Arial" w:cs="Arial"/>
          <w:sz w:val="24"/>
          <w:szCs w:val="24"/>
        </w:rPr>
      </w:pPr>
      <w:r>
        <w:rPr>
          <w:rFonts w:ascii="Arial" w:hAnsi="Arial" w:cs="Arial"/>
          <w:sz w:val="24"/>
          <w:szCs w:val="24"/>
        </w:rPr>
        <w:t>Insert.</w:t>
      </w:r>
    </w:p>
    <w:p w14:paraId="1E873435" w14:textId="6845E95D" w:rsidR="00911DFD" w:rsidRPr="00911DFD" w:rsidRDefault="00BC3A13" w:rsidP="002B0C6D">
      <w:pPr>
        <w:pStyle w:val="ListParagraph"/>
        <w:numPr>
          <w:ilvl w:val="0"/>
          <w:numId w:val="6"/>
        </w:numPr>
        <w:spacing w:after="240" w:line="360" w:lineRule="auto"/>
        <w:contextualSpacing w:val="0"/>
        <w:rPr>
          <w:rFonts w:ascii="Arial" w:hAnsi="Arial" w:cs="Arial"/>
          <w:b/>
          <w:bCs/>
          <w:sz w:val="24"/>
          <w:szCs w:val="24"/>
        </w:rPr>
      </w:pPr>
      <w:r>
        <w:rPr>
          <w:rFonts w:ascii="Arial" w:hAnsi="Arial" w:cs="Arial"/>
          <w:b/>
          <w:bCs/>
          <w:sz w:val="24"/>
          <w:szCs w:val="24"/>
        </w:rPr>
        <w:lastRenderedPageBreak/>
        <w:t>The change to the order</w:t>
      </w:r>
      <w:r w:rsidR="00911DFD" w:rsidRPr="00911DFD">
        <w:rPr>
          <w:rFonts w:ascii="Arial" w:hAnsi="Arial" w:cs="Arial"/>
          <w:b/>
          <w:bCs/>
          <w:sz w:val="24"/>
          <w:szCs w:val="24"/>
        </w:rPr>
        <w:t xml:space="preserve"> </w:t>
      </w:r>
      <w:r>
        <w:rPr>
          <w:rFonts w:ascii="Arial" w:hAnsi="Arial" w:cs="Arial"/>
          <w:b/>
          <w:bCs/>
          <w:sz w:val="24"/>
          <w:szCs w:val="24"/>
        </w:rPr>
        <w:t>would be</w:t>
      </w:r>
      <w:r w:rsidR="00911DFD" w:rsidRPr="00911DFD">
        <w:rPr>
          <w:rFonts w:ascii="Arial" w:hAnsi="Arial" w:cs="Arial"/>
          <w:b/>
          <w:bCs/>
          <w:sz w:val="24"/>
          <w:szCs w:val="24"/>
        </w:rPr>
        <w:t xml:space="preserve"> in </w:t>
      </w:r>
      <w:r>
        <w:rPr>
          <w:rFonts w:ascii="Arial" w:hAnsi="Arial" w:cs="Arial"/>
          <w:b/>
          <w:bCs/>
          <w:sz w:val="24"/>
          <w:szCs w:val="24"/>
        </w:rPr>
        <w:t>child’s best interests.</w:t>
      </w:r>
    </w:p>
    <w:p w14:paraId="46B68235" w14:textId="2421F984" w:rsidR="00911DFD" w:rsidRDefault="00911DFD" w:rsidP="002B0C6D">
      <w:pPr>
        <w:pStyle w:val="ListParagraph"/>
        <w:numPr>
          <w:ilvl w:val="0"/>
          <w:numId w:val="2"/>
        </w:numPr>
        <w:spacing w:after="240" w:line="360" w:lineRule="auto"/>
        <w:contextualSpacing w:val="0"/>
        <w:rPr>
          <w:rFonts w:ascii="Arial" w:hAnsi="Arial" w:cs="Arial"/>
          <w:sz w:val="24"/>
          <w:szCs w:val="24"/>
        </w:rPr>
      </w:pPr>
      <w:r>
        <w:rPr>
          <w:rFonts w:ascii="Arial" w:hAnsi="Arial" w:cs="Arial"/>
          <w:sz w:val="24"/>
          <w:szCs w:val="24"/>
        </w:rPr>
        <w:t>Insert</w:t>
      </w:r>
      <w:r w:rsidR="002B0C6D">
        <w:rPr>
          <w:rFonts w:ascii="Arial" w:hAnsi="Arial" w:cs="Arial"/>
          <w:sz w:val="24"/>
          <w:szCs w:val="24"/>
        </w:rPr>
        <w:t>.</w:t>
      </w:r>
    </w:p>
    <w:p w14:paraId="06F1CC7E" w14:textId="508F91CF" w:rsidR="002B0C6D" w:rsidRPr="00911DFD" w:rsidRDefault="002B0C6D" w:rsidP="002B0C6D">
      <w:pPr>
        <w:pStyle w:val="ListParagraph"/>
        <w:numPr>
          <w:ilvl w:val="0"/>
          <w:numId w:val="2"/>
        </w:numPr>
        <w:spacing w:after="240" w:line="360" w:lineRule="auto"/>
        <w:contextualSpacing w:val="0"/>
        <w:rPr>
          <w:rFonts w:ascii="Arial" w:hAnsi="Arial" w:cs="Arial"/>
          <w:sz w:val="24"/>
          <w:szCs w:val="24"/>
        </w:rPr>
      </w:pPr>
      <w:r>
        <w:rPr>
          <w:rFonts w:ascii="Arial" w:hAnsi="Arial" w:cs="Arial"/>
          <w:sz w:val="24"/>
          <w:szCs w:val="24"/>
        </w:rPr>
        <w:t xml:space="preserve">Insert. </w:t>
      </w:r>
    </w:p>
    <w:sectPr w:rsidR="002B0C6D" w:rsidRPr="00911DF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D2E53" w14:textId="77777777" w:rsidR="005051DB" w:rsidRDefault="005051DB" w:rsidP="005051DB">
      <w:pPr>
        <w:spacing w:after="0" w:line="240" w:lineRule="auto"/>
      </w:pPr>
      <w:r>
        <w:separator/>
      </w:r>
    </w:p>
  </w:endnote>
  <w:endnote w:type="continuationSeparator" w:id="0">
    <w:p w14:paraId="538218F6" w14:textId="77777777" w:rsidR="005051DB" w:rsidRDefault="005051DB" w:rsidP="00505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4"/>
        <w:szCs w:val="24"/>
      </w:rPr>
      <w:id w:val="-1043362253"/>
      <w:docPartObj>
        <w:docPartGallery w:val="Page Numbers (Bottom of Page)"/>
        <w:docPartUnique/>
      </w:docPartObj>
    </w:sdtPr>
    <w:sdtEndPr>
      <w:rPr>
        <w:noProof/>
      </w:rPr>
    </w:sdtEndPr>
    <w:sdtContent>
      <w:p w14:paraId="544137E6" w14:textId="50121624" w:rsidR="005051DB" w:rsidRPr="005051DB" w:rsidRDefault="005051DB">
        <w:pPr>
          <w:pStyle w:val="Footer"/>
          <w:jc w:val="center"/>
          <w:rPr>
            <w:rFonts w:ascii="Arial" w:hAnsi="Arial" w:cs="Arial"/>
            <w:sz w:val="24"/>
            <w:szCs w:val="24"/>
          </w:rPr>
        </w:pPr>
        <w:r w:rsidRPr="005051DB">
          <w:rPr>
            <w:rFonts w:ascii="Arial" w:hAnsi="Arial" w:cs="Arial"/>
            <w:sz w:val="24"/>
            <w:szCs w:val="24"/>
          </w:rPr>
          <w:fldChar w:fldCharType="begin"/>
        </w:r>
        <w:r w:rsidRPr="005051DB">
          <w:rPr>
            <w:rFonts w:ascii="Arial" w:hAnsi="Arial" w:cs="Arial"/>
            <w:sz w:val="24"/>
            <w:szCs w:val="24"/>
          </w:rPr>
          <w:instrText xml:space="preserve"> PAGE   \* MERGEFORMAT </w:instrText>
        </w:r>
        <w:r w:rsidRPr="005051DB">
          <w:rPr>
            <w:rFonts w:ascii="Arial" w:hAnsi="Arial" w:cs="Arial"/>
            <w:sz w:val="24"/>
            <w:szCs w:val="24"/>
          </w:rPr>
          <w:fldChar w:fldCharType="separate"/>
        </w:r>
        <w:r w:rsidRPr="005051DB">
          <w:rPr>
            <w:rFonts w:ascii="Arial" w:hAnsi="Arial" w:cs="Arial"/>
            <w:noProof/>
            <w:sz w:val="24"/>
            <w:szCs w:val="24"/>
          </w:rPr>
          <w:t>2</w:t>
        </w:r>
        <w:r w:rsidRPr="005051DB">
          <w:rPr>
            <w:rFonts w:ascii="Arial" w:hAnsi="Arial" w:cs="Arial"/>
            <w:noProof/>
            <w:sz w:val="24"/>
            <w:szCs w:val="24"/>
          </w:rPr>
          <w:fldChar w:fldCharType="end"/>
        </w:r>
      </w:p>
    </w:sdtContent>
  </w:sdt>
  <w:p w14:paraId="06391C12" w14:textId="77777777" w:rsidR="005051DB" w:rsidRDefault="005051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AABC0" w14:textId="77777777" w:rsidR="005051DB" w:rsidRDefault="005051DB" w:rsidP="005051DB">
      <w:pPr>
        <w:spacing w:after="0" w:line="240" w:lineRule="auto"/>
      </w:pPr>
      <w:r>
        <w:separator/>
      </w:r>
    </w:p>
  </w:footnote>
  <w:footnote w:type="continuationSeparator" w:id="0">
    <w:p w14:paraId="48DB90F4" w14:textId="77777777" w:rsidR="005051DB" w:rsidRDefault="005051DB" w:rsidP="005051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07D8D"/>
    <w:multiLevelType w:val="hybridMultilevel"/>
    <w:tmpl w:val="8D80EC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0F4667D"/>
    <w:multiLevelType w:val="hybridMultilevel"/>
    <w:tmpl w:val="7C6837A2"/>
    <w:lvl w:ilvl="0" w:tplc="E5384664">
      <w:start w:val="1"/>
      <w:numFmt w:val="decimal"/>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9EA30D3"/>
    <w:multiLevelType w:val="hybridMultilevel"/>
    <w:tmpl w:val="C1F0A3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D71016"/>
    <w:multiLevelType w:val="hybridMultilevel"/>
    <w:tmpl w:val="BB90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1A3855"/>
    <w:multiLevelType w:val="hybridMultilevel"/>
    <w:tmpl w:val="F376AD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BF053C"/>
    <w:multiLevelType w:val="hybridMultilevel"/>
    <w:tmpl w:val="C0089F32"/>
    <w:lvl w:ilvl="0" w:tplc="8B409F82">
      <w:start w:val="17"/>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45701006">
    <w:abstractNumId w:val="3"/>
  </w:num>
  <w:num w:numId="2" w16cid:durableId="1487434890">
    <w:abstractNumId w:val="1"/>
  </w:num>
  <w:num w:numId="3" w16cid:durableId="1347056979">
    <w:abstractNumId w:val="0"/>
  </w:num>
  <w:num w:numId="4" w16cid:durableId="1372147231">
    <w:abstractNumId w:val="5"/>
  </w:num>
  <w:num w:numId="5" w16cid:durableId="527915042">
    <w:abstractNumId w:val="2"/>
  </w:num>
  <w:num w:numId="6" w16cid:durableId="10517302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586"/>
    <w:rsid w:val="000152CF"/>
    <w:rsid w:val="0019497E"/>
    <w:rsid w:val="0019795D"/>
    <w:rsid w:val="002B0C6D"/>
    <w:rsid w:val="00316E7A"/>
    <w:rsid w:val="005051DB"/>
    <w:rsid w:val="006D53C0"/>
    <w:rsid w:val="00716B59"/>
    <w:rsid w:val="00911DFD"/>
    <w:rsid w:val="00BC3A13"/>
    <w:rsid w:val="00BC6868"/>
    <w:rsid w:val="00CB2586"/>
    <w:rsid w:val="00E32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60AD2"/>
  <w15:chartTrackingRefBased/>
  <w15:docId w15:val="{75858A37-A17A-482B-9AD9-31B847F96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5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2586"/>
    <w:rPr>
      <w:color w:val="0563C1" w:themeColor="hyperlink"/>
      <w:u w:val="single"/>
    </w:rPr>
  </w:style>
  <w:style w:type="paragraph" w:styleId="ListParagraph">
    <w:name w:val="List Paragraph"/>
    <w:basedOn w:val="Normal"/>
    <w:uiPriority w:val="34"/>
    <w:qFormat/>
    <w:rsid w:val="00CB2586"/>
    <w:pPr>
      <w:ind w:left="720"/>
      <w:contextualSpacing/>
    </w:pPr>
  </w:style>
  <w:style w:type="paragraph" w:styleId="Header">
    <w:name w:val="header"/>
    <w:basedOn w:val="Normal"/>
    <w:link w:val="HeaderChar"/>
    <w:uiPriority w:val="99"/>
    <w:unhideWhenUsed/>
    <w:rsid w:val="005051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51DB"/>
  </w:style>
  <w:style w:type="paragraph" w:styleId="Footer">
    <w:name w:val="footer"/>
    <w:basedOn w:val="Normal"/>
    <w:link w:val="FooterChar"/>
    <w:uiPriority w:val="99"/>
    <w:unhideWhenUsed/>
    <w:rsid w:val="005051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5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nlii.org/en/ca/laws/stat/sc-2019-c-24/latest/sc-2019-c-24.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B068E-7E6A-46A3-9E65-415CA1F52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1404</TotalTime>
  <Pages>4</Pages>
  <Words>731</Words>
  <Characters>4171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Feeney</dc:creator>
  <cp:keywords/>
  <dc:description/>
  <cp:lastModifiedBy>Kate Feeney</cp:lastModifiedBy>
  <cp:revision>7</cp:revision>
  <dcterms:created xsi:type="dcterms:W3CDTF">2024-11-25T20:58:00Z</dcterms:created>
  <dcterms:modified xsi:type="dcterms:W3CDTF">2025-03-04T21:43:00Z</dcterms:modified>
</cp:coreProperties>
</file>